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882" w:rsidRPr="006574F8" w:rsidRDefault="00A81882" w:rsidP="00A81882">
      <w:pPr>
        <w:ind w:left="1843" w:right="1983"/>
        <w:jc w:val="both"/>
        <w:rPr>
          <w:rFonts w:ascii="Tahoma" w:hAnsi="Tahoma" w:cs="Tahoma"/>
          <w:i/>
          <w:sz w:val="22"/>
          <w:szCs w:val="22"/>
        </w:rPr>
      </w:pPr>
      <w:r w:rsidRPr="006574F8">
        <w:rPr>
          <w:rFonts w:ascii="Tahoma" w:hAnsi="Tahoma" w:cs="Tahoma"/>
          <w:b/>
          <w:i/>
          <w:sz w:val="22"/>
          <w:szCs w:val="22"/>
        </w:rPr>
        <w:t>Sumilla   :</w:t>
      </w:r>
      <w:r w:rsidRPr="006574F8">
        <w:rPr>
          <w:rFonts w:ascii="Tahoma" w:hAnsi="Tahoma" w:cs="Tahoma"/>
          <w:i/>
          <w:sz w:val="22"/>
          <w:szCs w:val="22"/>
        </w:rPr>
        <w:t xml:space="preserve"> </w:t>
      </w:r>
      <w:r w:rsidRPr="006574F8">
        <w:rPr>
          <w:rFonts w:ascii="Tahoma" w:hAnsi="Tahoma" w:cs="Tahoma"/>
          <w:i/>
          <w:sz w:val="22"/>
          <w:szCs w:val="22"/>
        </w:rPr>
        <w:tab/>
        <w:t>“</w:t>
      </w:r>
      <w:r>
        <w:rPr>
          <w:rFonts w:ascii="Tahoma" w:hAnsi="Tahoma" w:cs="Tahoma"/>
          <w:i/>
          <w:sz w:val="22"/>
          <w:szCs w:val="22"/>
        </w:rPr>
        <w:t>Corresponde declarar no ha lugar la imposición del sanción, cuando se verifique que el documento cuestionado no es falso ni inexacto”</w:t>
      </w:r>
    </w:p>
    <w:p w:rsidR="00A81882" w:rsidRPr="006574F8" w:rsidRDefault="00A81882" w:rsidP="00A81882">
      <w:pPr>
        <w:pStyle w:val="Textoindependiente3"/>
        <w:spacing w:after="0"/>
        <w:rPr>
          <w:rFonts w:ascii="Tahoma" w:hAnsi="Tahoma" w:cs="Tahoma"/>
          <w:i/>
          <w:sz w:val="22"/>
          <w:szCs w:val="22"/>
          <w:lang w:val="es-ES"/>
        </w:rPr>
      </w:pPr>
    </w:p>
    <w:p w:rsidR="00A81882" w:rsidRPr="006574F8" w:rsidRDefault="00A81882" w:rsidP="00A81882">
      <w:pPr>
        <w:pStyle w:val="Textoindependiente3"/>
        <w:spacing w:after="0"/>
        <w:ind w:left="5387"/>
        <w:jc w:val="both"/>
        <w:rPr>
          <w:rFonts w:ascii="Tahoma" w:hAnsi="Tahoma" w:cs="Tahoma"/>
          <w:b/>
          <w:sz w:val="22"/>
          <w:szCs w:val="22"/>
        </w:rPr>
      </w:pPr>
      <w:r w:rsidRPr="006574F8">
        <w:rPr>
          <w:rFonts w:ascii="Tahoma" w:hAnsi="Tahoma" w:cs="Tahoma"/>
          <w:b/>
          <w:sz w:val="22"/>
          <w:szCs w:val="22"/>
        </w:rPr>
        <w:t>Lima,</w:t>
      </w:r>
      <w:r w:rsidR="00245114">
        <w:rPr>
          <w:rFonts w:ascii="Tahoma" w:hAnsi="Tahoma" w:cs="Tahoma"/>
          <w:b/>
          <w:sz w:val="22"/>
          <w:szCs w:val="22"/>
        </w:rPr>
        <w:t xml:space="preserve"> 25 de Marzo de 2011</w:t>
      </w:r>
    </w:p>
    <w:p w:rsidR="00A81882" w:rsidRPr="006574F8" w:rsidRDefault="00A81882" w:rsidP="00A81882">
      <w:pPr>
        <w:pStyle w:val="Textoindependiente3"/>
        <w:spacing w:after="0"/>
        <w:ind w:left="5387"/>
        <w:jc w:val="both"/>
        <w:rPr>
          <w:rFonts w:ascii="Tahoma" w:hAnsi="Tahoma" w:cs="Tahoma"/>
          <w:b/>
          <w:sz w:val="22"/>
          <w:szCs w:val="22"/>
        </w:rPr>
      </w:pPr>
    </w:p>
    <w:p w:rsidR="00A81882" w:rsidRDefault="00A81882" w:rsidP="00A81882">
      <w:pPr>
        <w:ind w:firstLine="567"/>
        <w:contextualSpacing/>
        <w:jc w:val="both"/>
        <w:rPr>
          <w:rFonts w:ascii="Tahoma" w:eastAsia="MS Mincho" w:hAnsi="Tahoma" w:cs="Tahoma"/>
          <w:sz w:val="22"/>
          <w:szCs w:val="22"/>
          <w:lang w:val="es-ES_tradnl"/>
        </w:rPr>
      </w:pPr>
      <w:r w:rsidRPr="006574F8">
        <w:rPr>
          <w:rFonts w:ascii="Tahoma" w:hAnsi="Tahoma" w:cs="Tahoma"/>
          <w:b/>
          <w:sz w:val="22"/>
          <w:szCs w:val="22"/>
        </w:rPr>
        <w:t xml:space="preserve">Visto </w:t>
      </w:r>
      <w:r>
        <w:rPr>
          <w:rFonts w:ascii="Tahoma" w:hAnsi="Tahoma" w:cs="Tahoma"/>
          <w:sz w:val="22"/>
          <w:szCs w:val="22"/>
        </w:rPr>
        <w:t>en sesión de fecha 25 de marzo</w:t>
      </w:r>
      <w:r w:rsidRPr="006574F8">
        <w:rPr>
          <w:rFonts w:ascii="Tahoma" w:hAnsi="Tahoma" w:cs="Tahoma"/>
          <w:sz w:val="22"/>
          <w:szCs w:val="22"/>
        </w:rPr>
        <w:t xml:space="preserve"> de 2011 la Primera Sala del Tribunal de Contratacione</w:t>
      </w:r>
      <w:r>
        <w:rPr>
          <w:rFonts w:ascii="Tahoma" w:hAnsi="Tahoma" w:cs="Tahoma"/>
          <w:sz w:val="22"/>
          <w:szCs w:val="22"/>
        </w:rPr>
        <w:t>s del Estado el Expediente N° 12</w:t>
      </w:r>
      <w:r w:rsidRPr="006574F8">
        <w:rPr>
          <w:rFonts w:ascii="Tahoma" w:hAnsi="Tahoma" w:cs="Tahoma"/>
          <w:sz w:val="22"/>
          <w:szCs w:val="22"/>
        </w:rPr>
        <w:t xml:space="preserve">04.2010-TC; sobre el procedimiento administrativo sancionador iniciado contra la empresa </w:t>
      </w:r>
      <w:r w:rsidRPr="00C110FE">
        <w:rPr>
          <w:rFonts w:ascii="Tahoma" w:hAnsi="Tahoma" w:cs="Tahoma"/>
          <w:sz w:val="22"/>
          <w:szCs w:val="22"/>
        </w:rPr>
        <w:t>TRANSPORTES Y SERVICIOS ISO PETROL EIRL</w:t>
      </w:r>
      <w:r w:rsidRPr="006574F8">
        <w:rPr>
          <w:rFonts w:ascii="Tahoma" w:hAnsi="Tahoma" w:cs="Tahoma"/>
          <w:sz w:val="22"/>
          <w:szCs w:val="22"/>
        </w:rPr>
        <w:t xml:space="preserve">, por supuesta responsabilidad al haber </w:t>
      </w:r>
      <w:r w:rsidRPr="006574F8">
        <w:rPr>
          <w:rFonts w:ascii="Tahoma" w:hAnsi="Tahoma" w:cs="Tahoma"/>
          <w:color w:val="000000" w:themeColor="text1"/>
          <w:sz w:val="22"/>
          <w:szCs w:val="22"/>
          <w:lang w:val="es-MX"/>
        </w:rPr>
        <w:t xml:space="preserve">presentado documentos falsos o inexactos, durante su participación </w:t>
      </w:r>
      <w:r w:rsidRPr="006070B0">
        <w:rPr>
          <w:rFonts w:ascii="Tahoma" w:eastAsia="MS Mincho" w:hAnsi="Tahoma" w:cs="Tahoma"/>
          <w:sz w:val="22"/>
          <w:szCs w:val="22"/>
          <w:lang w:val="es-ES_tradnl"/>
        </w:rPr>
        <w:t xml:space="preserve">en </w:t>
      </w:r>
      <w:r>
        <w:rPr>
          <w:rFonts w:ascii="Tahoma" w:eastAsia="MS Mincho" w:hAnsi="Tahoma" w:cs="Tahoma"/>
          <w:sz w:val="22"/>
          <w:szCs w:val="22"/>
          <w:lang w:val="es-ES_tradnl"/>
        </w:rPr>
        <w:t>el proceso de Competencia Menor Nº 31-2010/OFP/PETROPERU.</w:t>
      </w:r>
    </w:p>
    <w:p w:rsidR="00A81882" w:rsidRPr="006574F8" w:rsidRDefault="00A81882" w:rsidP="00A81882">
      <w:pPr>
        <w:ind w:firstLine="567"/>
        <w:contextualSpacing/>
        <w:jc w:val="both"/>
        <w:rPr>
          <w:rFonts w:ascii="Tahoma" w:hAnsi="Tahoma" w:cs="Tahoma"/>
          <w:b/>
          <w:sz w:val="22"/>
          <w:szCs w:val="22"/>
          <w:lang w:val="es-ES_tradnl"/>
        </w:rPr>
      </w:pPr>
    </w:p>
    <w:p w:rsidR="00A81882" w:rsidRPr="006574F8" w:rsidRDefault="00A81882" w:rsidP="00A81882">
      <w:pPr>
        <w:pStyle w:val="Prrafodelista"/>
        <w:numPr>
          <w:ilvl w:val="0"/>
          <w:numId w:val="1"/>
        </w:numPr>
        <w:ind w:left="567" w:hanging="425"/>
        <w:rPr>
          <w:rFonts w:ascii="Tahoma" w:hAnsi="Tahoma" w:cs="Tahoma"/>
          <w:b/>
          <w:sz w:val="22"/>
          <w:szCs w:val="22"/>
        </w:rPr>
      </w:pPr>
      <w:r w:rsidRPr="006574F8">
        <w:rPr>
          <w:rFonts w:ascii="Tahoma" w:hAnsi="Tahoma" w:cs="Tahoma"/>
          <w:b/>
          <w:sz w:val="22"/>
          <w:szCs w:val="22"/>
        </w:rPr>
        <w:t>ANTECEDENTES:</w:t>
      </w:r>
    </w:p>
    <w:p w:rsidR="00A81882" w:rsidRPr="006574F8" w:rsidRDefault="00A81882" w:rsidP="00A81882">
      <w:pPr>
        <w:jc w:val="both"/>
        <w:rPr>
          <w:rFonts w:ascii="Tahoma" w:hAnsi="Tahoma" w:cs="Tahoma"/>
          <w:b/>
          <w:sz w:val="22"/>
          <w:szCs w:val="22"/>
          <w:lang w:eastAsia="es-PE"/>
        </w:rPr>
      </w:pPr>
    </w:p>
    <w:p w:rsidR="00A81882" w:rsidRDefault="00A81882" w:rsidP="00A81882">
      <w:pPr>
        <w:widowControl w:val="0"/>
        <w:numPr>
          <w:ilvl w:val="3"/>
          <w:numId w:val="6"/>
        </w:numPr>
        <w:suppressAutoHyphens/>
        <w:ind w:left="600" w:hanging="600"/>
        <w:jc w:val="both"/>
        <w:rPr>
          <w:rFonts w:ascii="Tahoma" w:eastAsia="MS Mincho" w:hAnsi="Tahoma" w:cs="Tahoma"/>
          <w:sz w:val="22"/>
          <w:szCs w:val="22"/>
          <w:lang w:val="es-ES_tradnl"/>
        </w:rPr>
      </w:pPr>
      <w:r>
        <w:rPr>
          <w:rFonts w:ascii="Tahoma" w:eastAsia="MS Mincho" w:hAnsi="Tahoma" w:cs="Tahoma"/>
          <w:sz w:val="22"/>
          <w:szCs w:val="22"/>
          <w:lang w:val="es-ES_tradnl"/>
        </w:rPr>
        <w:t>Con fecha 29 de marzo del 2010, se realizó la venta y/o entrega de las bases del proceso de Competencia Menor Nº 31-2010/OFP/PETROPERU, convocado para el “Servicio de transporte terrestre en camiones tanque de turbo A-1 para las rutas: Terminal Mollendo a Planta Aeropuerto Arequipa y de Terminal Mollendo a Planta Aeropuerto Tacna, por un valor referencial ascendente a S/. 489,587.64 (Cuatrocientos ochenta y nueve mil quinientos ochenta y siete con 61/100 Nuevos Soles).</w:t>
      </w:r>
    </w:p>
    <w:p w:rsidR="00A81882" w:rsidRDefault="00A81882" w:rsidP="00A81882">
      <w:pPr>
        <w:widowControl w:val="0"/>
        <w:suppressAutoHyphens/>
        <w:ind w:left="600"/>
        <w:jc w:val="both"/>
        <w:rPr>
          <w:rFonts w:ascii="Tahoma" w:eastAsia="MS Mincho" w:hAnsi="Tahoma" w:cs="Tahoma"/>
          <w:sz w:val="22"/>
          <w:szCs w:val="22"/>
          <w:lang w:val="es-ES_tradnl"/>
        </w:rPr>
      </w:pPr>
    </w:p>
    <w:p w:rsidR="00A81882" w:rsidRPr="00C110FE" w:rsidRDefault="00A81882" w:rsidP="00A81882">
      <w:pPr>
        <w:widowControl w:val="0"/>
        <w:numPr>
          <w:ilvl w:val="3"/>
          <w:numId w:val="6"/>
        </w:numPr>
        <w:suppressAutoHyphens/>
        <w:ind w:left="600" w:hanging="600"/>
        <w:jc w:val="both"/>
        <w:rPr>
          <w:rFonts w:ascii="Tahoma" w:eastAsia="MS Mincho" w:hAnsi="Tahoma" w:cs="Tahoma"/>
          <w:sz w:val="22"/>
          <w:szCs w:val="22"/>
          <w:lang w:val="es-ES_tradnl"/>
        </w:rPr>
      </w:pPr>
      <w:r w:rsidRPr="00C110FE">
        <w:rPr>
          <w:rFonts w:ascii="Tahoma" w:eastAsia="MS Mincho" w:hAnsi="Tahoma" w:cs="Tahoma"/>
          <w:sz w:val="22"/>
          <w:szCs w:val="22"/>
          <w:lang w:val="es-ES_tradnl"/>
        </w:rPr>
        <w:t xml:space="preserve">El 15 de abril del 2010, se realizó el acto de presentación de propuestas, en el cual se presentó como postor, entre otras, la empresa </w:t>
      </w:r>
      <w:r w:rsidRPr="00C110FE">
        <w:rPr>
          <w:rFonts w:ascii="Tahoma" w:hAnsi="Tahoma" w:cs="Tahoma"/>
          <w:sz w:val="22"/>
          <w:szCs w:val="22"/>
        </w:rPr>
        <w:t>TRANSPORTES Y SERVICIOS ISO PETROL EIRL, en adelante la Denunciada.</w:t>
      </w:r>
    </w:p>
    <w:p w:rsidR="00A81882" w:rsidRPr="00C110FE" w:rsidRDefault="00A81882" w:rsidP="00A81882">
      <w:pPr>
        <w:pStyle w:val="Prrafodelista"/>
        <w:rPr>
          <w:rFonts w:ascii="Tahoma" w:eastAsia="MS Mincho" w:hAnsi="Tahoma" w:cs="Tahoma"/>
          <w:sz w:val="22"/>
          <w:szCs w:val="22"/>
        </w:rPr>
      </w:pPr>
    </w:p>
    <w:p w:rsidR="00A81882" w:rsidRPr="00C110FE" w:rsidRDefault="00A81882" w:rsidP="00A81882">
      <w:pPr>
        <w:widowControl w:val="0"/>
        <w:numPr>
          <w:ilvl w:val="3"/>
          <w:numId w:val="6"/>
        </w:numPr>
        <w:suppressAutoHyphens/>
        <w:ind w:left="600" w:hanging="600"/>
        <w:jc w:val="both"/>
        <w:rPr>
          <w:rFonts w:ascii="Tahoma" w:eastAsia="MS Mincho" w:hAnsi="Tahoma" w:cs="Tahoma"/>
          <w:sz w:val="22"/>
          <w:szCs w:val="22"/>
          <w:lang w:val="es-ES_tradnl"/>
        </w:rPr>
      </w:pPr>
      <w:r>
        <w:rPr>
          <w:rFonts w:ascii="Tahoma" w:eastAsia="MS Mincho" w:hAnsi="Tahoma" w:cs="Tahoma"/>
          <w:sz w:val="22"/>
          <w:szCs w:val="22"/>
          <w:lang w:val="es-ES_tradnl"/>
        </w:rPr>
        <w:t>Con fecha 30 de abril del 2010 se publicó a través del SEACE, el</w:t>
      </w:r>
      <w:r w:rsidRPr="00C110FE">
        <w:rPr>
          <w:rFonts w:ascii="Tahoma" w:eastAsia="MS Mincho" w:hAnsi="Tahoma" w:cs="Tahoma"/>
          <w:sz w:val="22"/>
          <w:szCs w:val="22"/>
          <w:lang w:val="es-ES_tradnl"/>
        </w:rPr>
        <w:t xml:space="preserve"> </w:t>
      </w:r>
      <w:r w:rsidRPr="00C110FE">
        <w:rPr>
          <w:rFonts w:ascii="Tahoma" w:hAnsi="Tahoma" w:cs="Tahoma"/>
          <w:sz w:val="22"/>
          <w:szCs w:val="22"/>
          <w:lang w:val="es-PE"/>
        </w:rPr>
        <w:t>ACTA DE RECEPCIÓN, APERTURA, EVALUACION DE PROPUESTAS Y OTORGAMIENTO DE BUENA P</w:t>
      </w:r>
      <w:r>
        <w:rPr>
          <w:rFonts w:ascii="Tahoma" w:hAnsi="Tahoma" w:cs="Tahoma"/>
          <w:sz w:val="22"/>
          <w:szCs w:val="22"/>
          <w:lang w:val="es-PE"/>
        </w:rPr>
        <w:t>RO, en el cual se consignó la descalificación de la propuesta presentada por la Denunciada, por haber presentado documentación inexacta, al indicarse lo siguiente:</w:t>
      </w:r>
    </w:p>
    <w:p w:rsidR="00A81882" w:rsidRDefault="00A81882" w:rsidP="00A81882">
      <w:pPr>
        <w:widowControl w:val="0"/>
        <w:suppressAutoHyphens/>
        <w:ind w:left="600"/>
        <w:jc w:val="both"/>
        <w:rPr>
          <w:rFonts w:ascii="Tahoma" w:eastAsia="MS Mincho" w:hAnsi="Tahoma" w:cs="Tahoma"/>
          <w:sz w:val="22"/>
          <w:szCs w:val="22"/>
          <w:lang w:val="es-ES_tradnl"/>
        </w:rPr>
      </w:pPr>
    </w:p>
    <w:p w:rsidR="00A81882" w:rsidRPr="00C110FE" w:rsidRDefault="00A81882" w:rsidP="00A81882">
      <w:pPr>
        <w:ind w:left="851" w:right="282"/>
        <w:jc w:val="both"/>
        <w:rPr>
          <w:rFonts w:ascii="Tahoma" w:hAnsi="Tahoma" w:cs="Tahoma"/>
          <w:i/>
          <w:sz w:val="18"/>
          <w:szCs w:val="18"/>
        </w:rPr>
      </w:pPr>
      <w:r w:rsidRPr="00C110FE">
        <w:rPr>
          <w:rFonts w:ascii="Tahoma" w:hAnsi="Tahoma" w:cs="Tahoma"/>
          <w:i/>
          <w:sz w:val="18"/>
          <w:szCs w:val="18"/>
        </w:rPr>
        <w:t>“Con relación a la revisión de los documentos presentados por las empresas TRANSPORTES Y SERVICIOS ISO-PETROL E.I.R.L., TICLAVILCA LOGISTIC OPERATOR S.A.C. y TRANSPORTES EXALTACIÓN CONDOR LLANA E HIJOS S.A.C., se señala que dichas empresas no cuentan con inscripción vigente en el Registro de Hidrocarburos como Transportistas de Combustibles Líquidos para transportar Turbo A-1, sino de otros combustibles; por lo cual, las Constancias de Registro GREM Arequipa presentadas por dichas empresas para el presente proceso, contienen información que no se ajusta a la realidad. Sobre el particular,  se indica que PETROPERÚ S.A. ha recibido  el Oficio N° 476-2010-GRA/GREM de fecha 26.04.2010 y el Oficio N° 482-2010-MEM/DGH de fecha 29.04.2010, de la Gerencia Regional de Energía y Minas - Gobierno Regional de Arequipa y  de la Dirección General de Hidrocarburos, respectivamente, adviertiéndose que tales empresas están autorizadas a transportar otros productos distintos al Turbo A-1, como son Gasolinas, Diesel B-2, Kerosene y Solventes”</w:t>
      </w:r>
      <w:r>
        <w:rPr>
          <w:rFonts w:ascii="Tahoma" w:hAnsi="Tahoma" w:cs="Tahoma"/>
          <w:i/>
          <w:sz w:val="18"/>
          <w:szCs w:val="18"/>
        </w:rPr>
        <w:t xml:space="preserve"> (SIC)</w:t>
      </w:r>
    </w:p>
    <w:p w:rsidR="00A81882" w:rsidRPr="00C110FE" w:rsidRDefault="00A81882" w:rsidP="00A81882">
      <w:pPr>
        <w:widowControl w:val="0"/>
        <w:suppressAutoHyphens/>
        <w:ind w:left="600"/>
        <w:jc w:val="both"/>
        <w:rPr>
          <w:rFonts w:ascii="Tahoma" w:eastAsia="MS Mincho" w:hAnsi="Tahoma" w:cs="Tahoma"/>
          <w:sz w:val="22"/>
          <w:szCs w:val="22"/>
        </w:rPr>
      </w:pPr>
    </w:p>
    <w:p w:rsidR="00A81882" w:rsidRPr="003A3825" w:rsidRDefault="00A81882" w:rsidP="00A81882">
      <w:pPr>
        <w:widowControl w:val="0"/>
        <w:numPr>
          <w:ilvl w:val="3"/>
          <w:numId w:val="6"/>
        </w:numPr>
        <w:suppressAutoHyphens/>
        <w:ind w:left="600" w:hanging="600"/>
        <w:jc w:val="both"/>
        <w:rPr>
          <w:rFonts w:ascii="Tahoma" w:eastAsia="MS Mincho" w:hAnsi="Tahoma" w:cs="Tahoma"/>
          <w:sz w:val="22"/>
          <w:szCs w:val="22"/>
          <w:lang w:val="es-ES_tradnl"/>
        </w:rPr>
      </w:pPr>
      <w:r>
        <w:rPr>
          <w:rFonts w:ascii="Tahoma" w:eastAsia="MS Mincho" w:hAnsi="Tahoma" w:cs="Tahoma"/>
          <w:sz w:val="22"/>
          <w:szCs w:val="22"/>
          <w:lang w:val="es-ES_tradnl"/>
        </w:rPr>
        <w:t>A través del Formulario de Aplicación de Sanción presentado el 07 de febrero de 2010, la Entidad comunicó a este Tribunal de Contrataciones del Estado, en adelante el Tribunal, los hechos antes expuestos.</w:t>
      </w:r>
      <w:r w:rsidRPr="003A3825">
        <w:rPr>
          <w:rFonts w:ascii="Tahoma" w:eastAsia="MS Mincho" w:hAnsi="Tahoma" w:cs="Tahoma"/>
          <w:sz w:val="22"/>
          <w:szCs w:val="22"/>
          <w:lang w:val="es-ES_tradnl"/>
        </w:rPr>
        <w:t xml:space="preserve"> </w:t>
      </w:r>
    </w:p>
    <w:p w:rsidR="00A81882" w:rsidRPr="003A3825" w:rsidRDefault="00A81882" w:rsidP="00A81882">
      <w:pPr>
        <w:widowControl w:val="0"/>
        <w:suppressAutoHyphens/>
        <w:ind w:left="600"/>
        <w:jc w:val="both"/>
        <w:rPr>
          <w:rFonts w:ascii="Tahoma" w:eastAsia="MS Mincho" w:hAnsi="Tahoma" w:cs="Tahoma"/>
          <w:sz w:val="22"/>
          <w:szCs w:val="22"/>
          <w:lang w:val="es-ES_tradnl"/>
        </w:rPr>
      </w:pPr>
    </w:p>
    <w:p w:rsidR="00A81882" w:rsidRDefault="00A81882" w:rsidP="00A81882">
      <w:pPr>
        <w:widowControl w:val="0"/>
        <w:numPr>
          <w:ilvl w:val="3"/>
          <w:numId w:val="6"/>
        </w:numPr>
        <w:suppressAutoHyphens/>
        <w:ind w:left="600" w:hanging="600"/>
        <w:jc w:val="both"/>
        <w:rPr>
          <w:rFonts w:ascii="Tahoma" w:eastAsia="MS Mincho" w:hAnsi="Tahoma" w:cs="Tahoma"/>
          <w:sz w:val="22"/>
          <w:szCs w:val="22"/>
          <w:lang w:val="es-ES_tradnl"/>
        </w:rPr>
      </w:pPr>
      <w:r>
        <w:rPr>
          <w:rFonts w:ascii="Tahoma" w:eastAsia="MS Mincho" w:hAnsi="Tahoma" w:cs="Tahoma"/>
          <w:sz w:val="22"/>
          <w:szCs w:val="22"/>
          <w:lang w:val="es-ES_tradnl"/>
        </w:rPr>
        <w:t>Por decreto de fecha 10 de setiembre</w:t>
      </w:r>
      <w:r w:rsidRPr="006070B0">
        <w:rPr>
          <w:rFonts w:ascii="Tahoma" w:eastAsia="MS Mincho" w:hAnsi="Tahoma" w:cs="Tahoma"/>
          <w:sz w:val="22"/>
          <w:szCs w:val="22"/>
          <w:lang w:val="es-ES_tradnl"/>
        </w:rPr>
        <w:t xml:space="preserve"> de 2010, el Tribunal inició procedimiento administrativo sancionador contra la Denunciada, por supuesta responsabilidad al haber incluido, como parte de su propuesta técnica, la</w:t>
      </w:r>
      <w:r>
        <w:rPr>
          <w:rFonts w:ascii="Tahoma" w:eastAsia="MS Mincho" w:hAnsi="Tahoma" w:cs="Tahoma"/>
          <w:sz w:val="22"/>
          <w:szCs w:val="22"/>
          <w:lang w:val="es-ES_tradnl"/>
        </w:rPr>
        <w:t>s C</w:t>
      </w:r>
      <w:r w:rsidRPr="006070B0">
        <w:rPr>
          <w:rFonts w:ascii="Tahoma" w:eastAsia="MS Mincho" w:hAnsi="Tahoma" w:cs="Tahoma"/>
          <w:sz w:val="22"/>
          <w:szCs w:val="22"/>
          <w:lang w:val="es-ES_tradnl"/>
        </w:rPr>
        <w:t xml:space="preserve">onstancia </w:t>
      </w:r>
      <w:r>
        <w:rPr>
          <w:rFonts w:ascii="Tahoma" w:eastAsia="MS Mincho" w:hAnsi="Tahoma" w:cs="Tahoma"/>
          <w:sz w:val="22"/>
          <w:szCs w:val="22"/>
          <w:lang w:val="es-ES_tradnl"/>
        </w:rPr>
        <w:t>de Registro de fecha 14 de abril del 2010, correspondiente a los números Nº 0022-CCCL-04-2000, Nº 0033-CCCL-04-2010 y Nº 0014-CCCL-04-2007, expedidas por la Gerencia Regional de Energía y Minas – Gobierno Regional de Arequipa, a fin de acreditar su inscripción en el Registro de Hidrocarburos como Transportista de combustibles líquidos para el transporte de turbo A-1</w:t>
      </w:r>
      <w:r w:rsidRPr="006070B0">
        <w:rPr>
          <w:rFonts w:ascii="Tahoma" w:eastAsia="MS Mincho" w:hAnsi="Tahoma" w:cs="Tahoma"/>
          <w:sz w:val="22"/>
          <w:szCs w:val="22"/>
          <w:lang w:val="es-ES_tradnl"/>
        </w:rPr>
        <w:t>, documento</w:t>
      </w:r>
      <w:r>
        <w:rPr>
          <w:rFonts w:ascii="Tahoma" w:eastAsia="MS Mincho" w:hAnsi="Tahoma" w:cs="Tahoma"/>
          <w:sz w:val="22"/>
          <w:szCs w:val="22"/>
          <w:lang w:val="es-ES_tradnl"/>
        </w:rPr>
        <w:t>s</w:t>
      </w:r>
      <w:r w:rsidRPr="006070B0">
        <w:rPr>
          <w:rFonts w:ascii="Tahoma" w:eastAsia="MS Mincho" w:hAnsi="Tahoma" w:cs="Tahoma"/>
          <w:sz w:val="22"/>
          <w:szCs w:val="22"/>
          <w:lang w:val="es-ES_tradnl"/>
        </w:rPr>
        <w:t xml:space="preserve"> supuestamente falso o inexacto, presentado</w:t>
      </w:r>
      <w:r>
        <w:rPr>
          <w:rFonts w:ascii="Tahoma" w:eastAsia="MS Mincho" w:hAnsi="Tahoma" w:cs="Tahoma"/>
          <w:sz w:val="22"/>
          <w:szCs w:val="22"/>
          <w:lang w:val="es-ES_tradnl"/>
        </w:rPr>
        <w:t>s</w:t>
      </w:r>
      <w:r w:rsidRPr="006070B0">
        <w:rPr>
          <w:rFonts w:ascii="Tahoma" w:eastAsia="MS Mincho" w:hAnsi="Tahoma" w:cs="Tahoma"/>
          <w:sz w:val="22"/>
          <w:szCs w:val="22"/>
          <w:lang w:val="es-ES_tradnl"/>
        </w:rPr>
        <w:t xml:space="preserve"> en </w:t>
      </w:r>
      <w:r>
        <w:rPr>
          <w:rFonts w:ascii="Tahoma" w:eastAsia="MS Mincho" w:hAnsi="Tahoma" w:cs="Tahoma"/>
          <w:sz w:val="22"/>
          <w:szCs w:val="22"/>
          <w:lang w:val="es-ES_tradnl"/>
        </w:rPr>
        <w:t>el proceso de Competencia Menor Nº 31-2010/OFP/PETROPERU</w:t>
      </w:r>
      <w:r w:rsidRPr="006070B0">
        <w:rPr>
          <w:rFonts w:ascii="Tahoma" w:eastAsia="MS Mincho" w:hAnsi="Tahoma" w:cs="Tahoma"/>
          <w:sz w:val="22"/>
          <w:szCs w:val="22"/>
          <w:lang w:val="es-ES_tradnl"/>
        </w:rPr>
        <w:t>; infracción tipificada en el literal i) del numeral 51.1 del artículo 51 de la Ley, en concordancia con el literal i) del numeral 1) del artículo 237 del Reglamento. Asimismo, se le otorgó a la Denunciada el plazo de diez (10) días para que presente sus descargos, bajo apercibimiento de resolver el procedimiento con la documentación obrante en autos.</w:t>
      </w:r>
    </w:p>
    <w:p w:rsidR="00A81882" w:rsidRDefault="00A81882" w:rsidP="00A81882">
      <w:pPr>
        <w:pStyle w:val="Prrafodelista"/>
        <w:rPr>
          <w:rFonts w:ascii="Tahoma" w:eastAsia="MS Mincho" w:hAnsi="Tahoma" w:cs="Tahoma"/>
          <w:sz w:val="22"/>
          <w:szCs w:val="22"/>
        </w:rPr>
      </w:pPr>
    </w:p>
    <w:p w:rsidR="00A81882" w:rsidRPr="006070B0" w:rsidRDefault="00A81882" w:rsidP="00A81882">
      <w:pPr>
        <w:widowControl w:val="0"/>
        <w:numPr>
          <w:ilvl w:val="3"/>
          <w:numId w:val="6"/>
        </w:numPr>
        <w:suppressAutoHyphens/>
        <w:ind w:left="600" w:hanging="600"/>
        <w:jc w:val="both"/>
        <w:rPr>
          <w:rFonts w:ascii="Tahoma" w:eastAsia="MS Mincho" w:hAnsi="Tahoma" w:cs="Tahoma"/>
          <w:sz w:val="22"/>
          <w:szCs w:val="22"/>
          <w:lang w:val="es-ES_tradnl"/>
        </w:rPr>
      </w:pPr>
      <w:r>
        <w:rPr>
          <w:rFonts w:ascii="Tahoma" w:eastAsia="MS Mincho" w:hAnsi="Tahoma" w:cs="Tahoma"/>
          <w:sz w:val="22"/>
          <w:szCs w:val="22"/>
          <w:lang w:val="es-ES_tradnl"/>
        </w:rPr>
        <w:t>Teniendo en consideración que la Denunciada no cumplió con remitir sus descargos dentro del plazo otorgado, a través del decreto de fecha 20 de diciembre de 2010, se hizo efectivo el apercibimiento de resolver con la documentación obrante en autos, y se remitió el presente expediente a la Primera Sala del Tribunal para que resuelva.</w:t>
      </w:r>
    </w:p>
    <w:p w:rsidR="00A81882" w:rsidRPr="003A3825" w:rsidRDefault="00A81882" w:rsidP="00A81882">
      <w:pPr>
        <w:widowControl w:val="0"/>
        <w:suppressAutoHyphens/>
        <w:ind w:left="600"/>
        <w:jc w:val="both"/>
        <w:rPr>
          <w:rFonts w:ascii="Tahoma" w:eastAsia="MS Mincho" w:hAnsi="Tahoma" w:cs="Tahoma"/>
          <w:sz w:val="22"/>
          <w:szCs w:val="22"/>
          <w:lang w:val="es-ES_tradnl"/>
        </w:rPr>
      </w:pPr>
    </w:p>
    <w:p w:rsidR="00A81882" w:rsidRDefault="00A81882" w:rsidP="00A81882">
      <w:pPr>
        <w:widowControl w:val="0"/>
        <w:numPr>
          <w:ilvl w:val="3"/>
          <w:numId w:val="6"/>
        </w:numPr>
        <w:suppressAutoHyphens/>
        <w:ind w:left="600" w:hanging="600"/>
        <w:jc w:val="both"/>
        <w:rPr>
          <w:rFonts w:ascii="Tahoma" w:eastAsia="MS Mincho" w:hAnsi="Tahoma" w:cs="Tahoma"/>
          <w:sz w:val="22"/>
          <w:szCs w:val="22"/>
          <w:lang w:val="es-ES_tradnl"/>
        </w:rPr>
      </w:pPr>
      <w:r>
        <w:rPr>
          <w:rFonts w:ascii="Tahoma" w:eastAsia="MS Mincho" w:hAnsi="Tahoma" w:cs="Tahoma"/>
          <w:sz w:val="22"/>
          <w:szCs w:val="22"/>
          <w:lang w:val="es-ES_tradnl"/>
        </w:rPr>
        <w:t>Mediante escrito presentado</w:t>
      </w:r>
      <w:r w:rsidRPr="003A3825">
        <w:rPr>
          <w:rFonts w:ascii="Tahoma" w:eastAsia="MS Mincho" w:hAnsi="Tahoma" w:cs="Tahoma"/>
          <w:sz w:val="22"/>
          <w:szCs w:val="22"/>
          <w:lang w:val="es-ES_tradnl"/>
        </w:rPr>
        <w:t xml:space="preserve"> el </w:t>
      </w:r>
      <w:r>
        <w:rPr>
          <w:rFonts w:ascii="Tahoma" w:eastAsia="MS Mincho" w:hAnsi="Tahoma" w:cs="Tahoma"/>
          <w:sz w:val="22"/>
          <w:szCs w:val="22"/>
          <w:lang w:val="es-ES_tradnl"/>
        </w:rPr>
        <w:t xml:space="preserve">30 de diciembre </w:t>
      </w:r>
      <w:r w:rsidRPr="003A3825">
        <w:rPr>
          <w:rFonts w:ascii="Tahoma" w:eastAsia="MS Mincho" w:hAnsi="Tahoma" w:cs="Tahoma"/>
          <w:sz w:val="22"/>
          <w:szCs w:val="22"/>
          <w:lang w:val="es-ES_tradnl"/>
        </w:rPr>
        <w:t xml:space="preserve">de 2010, la Denunciada </w:t>
      </w:r>
      <w:r>
        <w:rPr>
          <w:rFonts w:ascii="Tahoma" w:eastAsia="MS Mincho" w:hAnsi="Tahoma" w:cs="Tahoma"/>
          <w:sz w:val="22"/>
          <w:szCs w:val="22"/>
          <w:lang w:val="es-ES_tradnl"/>
        </w:rPr>
        <w:t>señaló lo siguiente:</w:t>
      </w:r>
    </w:p>
    <w:p w:rsidR="00A81882" w:rsidRDefault="00A81882" w:rsidP="00A81882">
      <w:pPr>
        <w:pStyle w:val="Prrafodelista"/>
        <w:rPr>
          <w:rFonts w:ascii="Tahoma" w:eastAsia="MS Mincho" w:hAnsi="Tahoma" w:cs="Tahoma"/>
          <w:sz w:val="22"/>
          <w:szCs w:val="22"/>
        </w:rPr>
      </w:pPr>
    </w:p>
    <w:p w:rsidR="00A81882" w:rsidRPr="00032EE7" w:rsidRDefault="00A81882" w:rsidP="00A81882">
      <w:pPr>
        <w:pStyle w:val="Prrafodelista"/>
        <w:numPr>
          <w:ilvl w:val="0"/>
          <w:numId w:val="7"/>
        </w:numPr>
        <w:ind w:left="993" w:hanging="426"/>
        <w:jc w:val="both"/>
        <w:rPr>
          <w:rFonts w:ascii="Tahoma" w:eastAsia="MS Mincho" w:hAnsi="Tahoma" w:cs="Tahoma"/>
          <w:sz w:val="22"/>
          <w:szCs w:val="22"/>
        </w:rPr>
      </w:pPr>
      <w:r w:rsidRPr="00032EE7">
        <w:rPr>
          <w:rFonts w:ascii="Tahoma" w:eastAsia="MS Mincho" w:hAnsi="Tahoma" w:cs="Tahoma"/>
          <w:sz w:val="22"/>
          <w:szCs w:val="22"/>
        </w:rPr>
        <w:t>Las Bases del proceso por Competencia Menor Nº 31-2010/OFP/PETROPERU, solicitaba como requisitos que debían contener las propuestas, la copia simple del Registro General de Hidrocarburos (DGH) de los remolcadores cisternas, por lo que la Denunciada adjuntó copia de las constancias Nº 0022-CCL-01-2000, Nº 0033-CCCL-04-2010 y Nº 0014-CCCL-04-2007, no obstante ello, mediante Oficio Nº 619-2010-GRA/GREM la Gerencia Regional de Energía y Minas del Gobierno Regional de Arequipa, señaló que dichas constancias fueron anuladas.</w:t>
      </w:r>
    </w:p>
    <w:p w:rsidR="00A81882" w:rsidRDefault="00A81882" w:rsidP="00A81882">
      <w:pPr>
        <w:widowControl w:val="0"/>
        <w:suppressAutoHyphens/>
        <w:ind w:left="993" w:hanging="426"/>
        <w:jc w:val="both"/>
        <w:rPr>
          <w:rFonts w:ascii="Tahoma" w:eastAsia="MS Mincho" w:hAnsi="Tahoma" w:cs="Tahoma"/>
          <w:sz w:val="22"/>
          <w:szCs w:val="22"/>
          <w:lang w:val="es-ES_tradnl"/>
        </w:rPr>
      </w:pPr>
    </w:p>
    <w:p w:rsidR="00A81882" w:rsidRPr="00032EE7" w:rsidRDefault="00A81882" w:rsidP="00A81882">
      <w:pPr>
        <w:pStyle w:val="Prrafodelista"/>
        <w:numPr>
          <w:ilvl w:val="0"/>
          <w:numId w:val="7"/>
        </w:numPr>
        <w:ind w:left="993" w:hanging="426"/>
        <w:jc w:val="both"/>
        <w:rPr>
          <w:rFonts w:ascii="Tahoma" w:eastAsia="MS Mincho" w:hAnsi="Tahoma" w:cs="Tahoma"/>
          <w:sz w:val="22"/>
          <w:szCs w:val="22"/>
        </w:rPr>
      </w:pPr>
      <w:r w:rsidRPr="00032EE7">
        <w:rPr>
          <w:rFonts w:ascii="Tahoma" w:eastAsia="MS Mincho" w:hAnsi="Tahoma" w:cs="Tahoma"/>
          <w:sz w:val="22"/>
          <w:szCs w:val="22"/>
        </w:rPr>
        <w:t>Como se puede advertir del Oficio Nº 619-2010-GRA/GREM, si bien es cierto la emisora de los documentos cuestionados informó que los certificados han sido anulados, no es menos cierto que no se señaló que eran falsos ni que tenían información inexacta, por lo que en el presente caso no corresponde imponerle sanción alguna.</w:t>
      </w:r>
    </w:p>
    <w:p w:rsidR="00A81882" w:rsidRPr="003A3825" w:rsidRDefault="00A81882" w:rsidP="00A81882">
      <w:pPr>
        <w:widowControl w:val="0"/>
        <w:suppressAutoHyphens/>
        <w:jc w:val="both"/>
        <w:rPr>
          <w:rFonts w:ascii="Tahoma" w:eastAsia="MS Mincho" w:hAnsi="Tahoma" w:cs="Tahoma"/>
          <w:sz w:val="22"/>
          <w:szCs w:val="22"/>
          <w:lang w:val="es-ES_tradnl"/>
        </w:rPr>
      </w:pPr>
    </w:p>
    <w:p w:rsidR="00A81882" w:rsidRDefault="00A81882" w:rsidP="00A81882">
      <w:pPr>
        <w:widowControl w:val="0"/>
        <w:numPr>
          <w:ilvl w:val="3"/>
          <w:numId w:val="6"/>
        </w:numPr>
        <w:suppressAutoHyphens/>
        <w:ind w:left="600" w:hanging="600"/>
        <w:jc w:val="both"/>
        <w:rPr>
          <w:rFonts w:ascii="Tahoma" w:eastAsia="MS Mincho" w:hAnsi="Tahoma" w:cs="Tahoma"/>
          <w:sz w:val="22"/>
          <w:szCs w:val="22"/>
          <w:lang w:val="es-ES_tradnl"/>
        </w:rPr>
      </w:pPr>
      <w:r>
        <w:rPr>
          <w:rFonts w:ascii="Tahoma" w:eastAsia="MS Mincho" w:hAnsi="Tahoma" w:cs="Tahoma"/>
          <w:sz w:val="22"/>
          <w:szCs w:val="22"/>
          <w:lang w:val="es-ES_tradnl"/>
        </w:rPr>
        <w:lastRenderedPageBreak/>
        <w:t>Con decreto de fecha 23 de febrero de 2011, se solicitó información adicional a la Gerencia Regional de Energía y Mina – Gobierno Regional de Arequipa, bajo el siguiente detalle:</w:t>
      </w:r>
    </w:p>
    <w:p w:rsidR="00A81882" w:rsidRDefault="00A81882" w:rsidP="00A81882">
      <w:pPr>
        <w:widowControl w:val="0"/>
        <w:suppressAutoHyphens/>
        <w:jc w:val="both"/>
        <w:rPr>
          <w:rFonts w:ascii="Tahoma" w:eastAsia="MS Mincho" w:hAnsi="Tahoma" w:cs="Tahoma"/>
          <w:sz w:val="22"/>
          <w:szCs w:val="22"/>
          <w:lang w:val="es-ES_tradnl"/>
        </w:rPr>
      </w:pPr>
    </w:p>
    <w:p w:rsidR="00A81882" w:rsidRPr="00553EB8" w:rsidRDefault="00A81882" w:rsidP="00A81882">
      <w:pPr>
        <w:pStyle w:val="Prrafodelista"/>
        <w:widowControl/>
        <w:numPr>
          <w:ilvl w:val="0"/>
          <w:numId w:val="8"/>
        </w:numPr>
        <w:suppressAutoHyphens w:val="0"/>
        <w:ind w:left="1276" w:right="282" w:hanging="426"/>
        <w:contextualSpacing/>
        <w:jc w:val="both"/>
        <w:rPr>
          <w:rFonts w:ascii="Tahoma" w:hAnsi="Tahoma" w:cs="Tahoma"/>
          <w:i/>
          <w:color w:val="000000"/>
          <w:sz w:val="18"/>
          <w:szCs w:val="18"/>
        </w:rPr>
      </w:pPr>
      <w:r w:rsidRPr="00553EB8">
        <w:rPr>
          <w:rFonts w:ascii="Tahoma" w:hAnsi="Tahoma" w:cs="Tahoma"/>
          <w:i/>
          <w:color w:val="000000"/>
          <w:sz w:val="18"/>
          <w:szCs w:val="18"/>
        </w:rPr>
        <w:t xml:space="preserve">Sírvase pronunciarse sobre la autenticidad del contenido de </w:t>
      </w:r>
      <w:r w:rsidRPr="00553EB8">
        <w:rPr>
          <w:rFonts w:ascii="Tahoma" w:hAnsi="Tahoma" w:cs="Tahoma"/>
          <w:i/>
          <w:color w:val="000000"/>
          <w:sz w:val="18"/>
          <w:szCs w:val="18"/>
          <w:lang w:val="es-PE"/>
        </w:rPr>
        <w:t>las Constancias de Registro, de fecha 14.04.2010, correspondientes a los Nº 022-CCCL-04-2000, Nº 0033-CCL-04-2010 y Nº 0014-CCL-04-2007, expedidas por su representada</w:t>
      </w:r>
      <w:r w:rsidRPr="00553EB8">
        <w:rPr>
          <w:rFonts w:ascii="Tahoma" w:hAnsi="Tahoma" w:cs="Tahoma"/>
          <w:i/>
          <w:color w:val="000000"/>
          <w:sz w:val="18"/>
          <w:szCs w:val="18"/>
        </w:rPr>
        <w:t xml:space="preserve">, </w:t>
      </w:r>
      <w:r w:rsidRPr="00553EB8">
        <w:rPr>
          <w:rFonts w:ascii="Tahoma" w:hAnsi="Tahoma" w:cs="Tahoma"/>
          <w:i/>
          <w:color w:val="000000"/>
          <w:sz w:val="18"/>
          <w:szCs w:val="18"/>
          <w:u w:val="single"/>
        </w:rPr>
        <w:t>las mismas que se le adjunta.</w:t>
      </w:r>
      <w:r w:rsidRPr="00553EB8">
        <w:rPr>
          <w:rFonts w:ascii="Tahoma" w:hAnsi="Tahoma" w:cs="Tahoma"/>
          <w:i/>
          <w:color w:val="000000"/>
          <w:sz w:val="18"/>
          <w:szCs w:val="18"/>
        </w:rPr>
        <w:t xml:space="preserve"> </w:t>
      </w:r>
    </w:p>
    <w:p w:rsidR="00A81882" w:rsidRPr="00553EB8" w:rsidRDefault="00A81882" w:rsidP="00A81882">
      <w:pPr>
        <w:ind w:left="1276" w:right="282" w:hanging="426"/>
        <w:contextualSpacing/>
        <w:jc w:val="both"/>
        <w:rPr>
          <w:rFonts w:ascii="Tahoma" w:hAnsi="Tahoma" w:cs="Tahoma"/>
          <w:i/>
          <w:color w:val="444444"/>
          <w:sz w:val="18"/>
          <w:szCs w:val="18"/>
          <w:lang w:val="es-ES_tradnl"/>
        </w:rPr>
      </w:pPr>
    </w:p>
    <w:p w:rsidR="00A81882" w:rsidRPr="00553EB8" w:rsidRDefault="00A81882" w:rsidP="00A81882">
      <w:pPr>
        <w:pStyle w:val="Prrafodelista"/>
        <w:widowControl/>
        <w:numPr>
          <w:ilvl w:val="0"/>
          <w:numId w:val="8"/>
        </w:numPr>
        <w:suppressAutoHyphens w:val="0"/>
        <w:ind w:left="1276" w:right="282" w:hanging="426"/>
        <w:contextualSpacing/>
        <w:jc w:val="both"/>
        <w:rPr>
          <w:rFonts w:ascii="Tahoma" w:hAnsi="Tahoma" w:cs="Tahoma"/>
          <w:i/>
          <w:color w:val="000000"/>
          <w:sz w:val="18"/>
          <w:szCs w:val="18"/>
        </w:rPr>
      </w:pPr>
      <w:r w:rsidRPr="00553EB8">
        <w:rPr>
          <w:rFonts w:ascii="Tahoma" w:hAnsi="Tahoma" w:cs="Tahoma"/>
          <w:i/>
          <w:color w:val="000000"/>
          <w:sz w:val="18"/>
          <w:szCs w:val="18"/>
        </w:rPr>
        <w:t>Del mismo modo, teniendo en consideración que su representada informó a PETROPERÚ, a través del Oficio Nº 619-2010-GRA/GREM (</w:t>
      </w:r>
      <w:r w:rsidRPr="00553EB8">
        <w:rPr>
          <w:rFonts w:ascii="Tahoma" w:hAnsi="Tahoma" w:cs="Tahoma"/>
          <w:i/>
          <w:color w:val="000000"/>
          <w:sz w:val="18"/>
          <w:szCs w:val="18"/>
          <w:u w:val="single"/>
        </w:rPr>
        <w:t>el cual se adjunta</w:t>
      </w:r>
      <w:r w:rsidRPr="00553EB8">
        <w:rPr>
          <w:rFonts w:ascii="Tahoma" w:hAnsi="Tahoma" w:cs="Tahoma"/>
          <w:i/>
          <w:color w:val="000000"/>
          <w:sz w:val="18"/>
          <w:szCs w:val="18"/>
        </w:rPr>
        <w:t>), que las</w:t>
      </w:r>
      <w:r w:rsidRPr="00553EB8">
        <w:rPr>
          <w:rFonts w:ascii="Tahoma" w:hAnsi="Tahoma" w:cs="Tahoma"/>
          <w:i/>
          <w:color w:val="000000"/>
          <w:sz w:val="18"/>
          <w:szCs w:val="18"/>
          <w:lang w:val="es-PE"/>
        </w:rPr>
        <w:t xml:space="preserve"> Constancias de Registro Nº 022-CCCL-04-2000, Nº 0033-CCL-04-2010 y Nº 0014-CCL-04-2007 habían sido anuladas, cumpla con señalar</w:t>
      </w:r>
      <w:r w:rsidRPr="00553EB8">
        <w:rPr>
          <w:rFonts w:ascii="Tahoma" w:hAnsi="Tahoma" w:cs="Tahoma"/>
          <w:i/>
          <w:color w:val="000000"/>
          <w:sz w:val="18"/>
          <w:szCs w:val="18"/>
          <w:u w:val="single"/>
          <w:lang w:val="es-PE"/>
        </w:rPr>
        <w:t xml:space="preserve"> la fecha exacta de dicha anulación, su respectiva notificación a la empresa ISO PETROL E.I.R.L. y el motivo de la anulación.</w:t>
      </w:r>
      <w:r w:rsidRPr="00553EB8">
        <w:rPr>
          <w:rFonts w:ascii="Tahoma" w:hAnsi="Tahoma" w:cs="Tahoma"/>
          <w:i/>
          <w:color w:val="000000"/>
          <w:sz w:val="18"/>
          <w:szCs w:val="18"/>
        </w:rPr>
        <w:t xml:space="preserve"> </w:t>
      </w:r>
    </w:p>
    <w:p w:rsidR="00A81882" w:rsidRDefault="00A81882" w:rsidP="00A81882">
      <w:pPr>
        <w:widowControl w:val="0"/>
        <w:numPr>
          <w:ilvl w:val="3"/>
          <w:numId w:val="6"/>
        </w:numPr>
        <w:suppressAutoHyphens/>
        <w:ind w:left="600" w:hanging="600"/>
        <w:jc w:val="both"/>
        <w:rPr>
          <w:rFonts w:ascii="Tahoma" w:eastAsia="MS Mincho" w:hAnsi="Tahoma" w:cs="Tahoma"/>
          <w:sz w:val="22"/>
          <w:szCs w:val="22"/>
          <w:lang w:val="es-ES_tradnl"/>
        </w:rPr>
      </w:pPr>
      <w:r>
        <w:rPr>
          <w:rFonts w:ascii="Tahoma" w:eastAsia="MS Mincho" w:hAnsi="Tahoma" w:cs="Tahoma"/>
          <w:sz w:val="22"/>
          <w:szCs w:val="22"/>
          <w:lang w:val="es-ES_tradnl"/>
        </w:rPr>
        <w:t>A través del Oficio Nº 0188-2011-GRA/GREM presentado el 03 de marzo de 2011, la Gerencia Regional de Energía y Mina – Gobierno Regional de Arequipa, informó lo siguiente:</w:t>
      </w:r>
    </w:p>
    <w:p w:rsidR="00A81882" w:rsidRDefault="00A81882" w:rsidP="00A81882">
      <w:pPr>
        <w:widowControl w:val="0"/>
        <w:suppressAutoHyphens/>
        <w:ind w:left="600"/>
        <w:jc w:val="both"/>
        <w:rPr>
          <w:rFonts w:ascii="Tahoma" w:eastAsia="MS Mincho" w:hAnsi="Tahoma" w:cs="Tahoma"/>
          <w:sz w:val="22"/>
          <w:szCs w:val="22"/>
          <w:lang w:val="es-ES_tradnl"/>
        </w:rPr>
      </w:pPr>
    </w:p>
    <w:p w:rsidR="00A81882" w:rsidRPr="00A3006E" w:rsidRDefault="00A81882" w:rsidP="00A81882">
      <w:pPr>
        <w:widowControl w:val="0"/>
        <w:suppressAutoHyphens/>
        <w:ind w:left="851" w:right="282"/>
        <w:jc w:val="both"/>
        <w:rPr>
          <w:rFonts w:ascii="Tahoma" w:eastAsia="MS Mincho" w:hAnsi="Tahoma" w:cs="Tahoma"/>
          <w:i/>
          <w:sz w:val="18"/>
          <w:szCs w:val="18"/>
          <w:lang w:val="es-ES_tradnl"/>
        </w:rPr>
      </w:pPr>
      <w:r w:rsidRPr="00A3006E">
        <w:rPr>
          <w:rFonts w:ascii="Tahoma" w:eastAsia="MS Mincho" w:hAnsi="Tahoma" w:cs="Tahoma"/>
          <w:i/>
          <w:sz w:val="18"/>
          <w:szCs w:val="18"/>
          <w:lang w:val="es-ES_tradnl"/>
        </w:rPr>
        <w:t>“Tengo a bien de dirigirme a usted, para haber de su conocimiento que la Gerencia a mi cargo confirma la emisión de las constancias de registro 0005-CCCL-04-2008, 0018-CCCL-04-2006 Y 0017-CCCL-04-2007 por modificación de producto, aspecto que no ameritaba Informe Técnico Favorable emitido por OSINERGMIN, debido a que no existía modificación física de la unidad.</w:t>
      </w:r>
    </w:p>
    <w:p w:rsidR="00A81882" w:rsidRPr="00A3006E" w:rsidRDefault="00A81882" w:rsidP="00A81882">
      <w:pPr>
        <w:widowControl w:val="0"/>
        <w:suppressAutoHyphens/>
        <w:ind w:left="851" w:right="282"/>
        <w:jc w:val="both"/>
        <w:rPr>
          <w:rFonts w:ascii="Tahoma" w:eastAsia="MS Mincho" w:hAnsi="Tahoma" w:cs="Tahoma"/>
          <w:i/>
          <w:sz w:val="18"/>
          <w:szCs w:val="18"/>
          <w:lang w:val="es-ES_tradnl"/>
        </w:rPr>
      </w:pPr>
    </w:p>
    <w:p w:rsidR="00A81882" w:rsidRDefault="00A81882" w:rsidP="00A81882">
      <w:pPr>
        <w:widowControl w:val="0"/>
        <w:suppressAutoHyphens/>
        <w:ind w:left="851" w:right="282"/>
        <w:jc w:val="both"/>
        <w:rPr>
          <w:rFonts w:ascii="Tahoma" w:eastAsia="MS Mincho" w:hAnsi="Tahoma" w:cs="Tahoma"/>
          <w:sz w:val="22"/>
          <w:szCs w:val="22"/>
          <w:lang w:val="es-ES_tradnl"/>
        </w:rPr>
      </w:pPr>
      <w:r w:rsidRPr="00A3006E">
        <w:rPr>
          <w:rFonts w:ascii="Tahoma" w:eastAsia="MS Mincho" w:hAnsi="Tahoma" w:cs="Tahoma"/>
          <w:i/>
          <w:sz w:val="18"/>
          <w:szCs w:val="18"/>
          <w:lang w:val="es-ES_tradnl"/>
        </w:rPr>
        <w:t>Asimismo, esta Gerencia con fecha 16 de abril del 2010, procedió a anular las constancias mencionadas debido que la Dirección General de Hidrocarburos consideró que el cambio de producto a combustible de aviación ameritaba Informe Técnico Favorable emitido por OSINERGMIN. En ese sentido debemos indicar que esta Gerencia no llevaba el registro de hidrocarburos, y el documento que emitía es una constancia de tal registro el mismo que no tenía efecto hasta no ser ingresado a la base de datos de institución mencionada”</w:t>
      </w:r>
      <w:r>
        <w:rPr>
          <w:rFonts w:ascii="Tahoma" w:eastAsia="MS Mincho" w:hAnsi="Tahoma" w:cs="Tahoma"/>
          <w:sz w:val="22"/>
          <w:szCs w:val="22"/>
          <w:lang w:val="es-ES_tradnl"/>
        </w:rPr>
        <w:t>. (Sic)</w:t>
      </w:r>
    </w:p>
    <w:p w:rsidR="00A81882" w:rsidRPr="006574F8" w:rsidRDefault="00A81882" w:rsidP="00A81882">
      <w:pPr>
        <w:rPr>
          <w:rFonts w:ascii="Tahoma" w:hAnsi="Tahoma" w:cs="Tahoma"/>
          <w:b/>
          <w:sz w:val="22"/>
          <w:szCs w:val="22"/>
        </w:rPr>
      </w:pPr>
    </w:p>
    <w:p w:rsidR="00A81882" w:rsidRPr="006574F8" w:rsidRDefault="00A81882" w:rsidP="00A81882">
      <w:pPr>
        <w:pStyle w:val="Prrafodelista"/>
        <w:numPr>
          <w:ilvl w:val="0"/>
          <w:numId w:val="1"/>
        </w:numPr>
        <w:ind w:left="567" w:hanging="283"/>
        <w:rPr>
          <w:rFonts w:ascii="Tahoma" w:hAnsi="Tahoma" w:cs="Tahoma"/>
          <w:b/>
          <w:sz w:val="22"/>
          <w:szCs w:val="22"/>
        </w:rPr>
      </w:pPr>
      <w:r w:rsidRPr="006574F8">
        <w:rPr>
          <w:rFonts w:ascii="Tahoma" w:hAnsi="Tahoma" w:cs="Tahoma"/>
          <w:b/>
          <w:sz w:val="22"/>
          <w:szCs w:val="22"/>
        </w:rPr>
        <w:t>FUNDAMENTACIÓN</w:t>
      </w:r>
    </w:p>
    <w:p w:rsidR="00A81882" w:rsidRPr="006574F8" w:rsidRDefault="00A81882" w:rsidP="00A81882">
      <w:pPr>
        <w:ind w:left="426"/>
        <w:jc w:val="both"/>
        <w:rPr>
          <w:rFonts w:ascii="Tahoma" w:hAnsi="Tahoma" w:cs="Tahoma"/>
          <w:sz w:val="22"/>
          <w:szCs w:val="22"/>
          <w:lang w:eastAsia="es-PE"/>
        </w:rPr>
      </w:pPr>
    </w:p>
    <w:p w:rsidR="00A81882" w:rsidRPr="00C77CF4" w:rsidRDefault="00A81882" w:rsidP="00A81882">
      <w:pPr>
        <w:numPr>
          <w:ilvl w:val="0"/>
          <w:numId w:val="9"/>
        </w:numPr>
        <w:tabs>
          <w:tab w:val="clear" w:pos="360"/>
        </w:tabs>
        <w:ind w:left="567" w:hanging="567"/>
        <w:jc w:val="both"/>
        <w:rPr>
          <w:rFonts w:ascii="Tahoma" w:hAnsi="Tahoma" w:cs="Tahoma"/>
          <w:b/>
          <w:sz w:val="22"/>
          <w:szCs w:val="22"/>
        </w:rPr>
      </w:pPr>
      <w:r w:rsidRPr="00C77CF4">
        <w:rPr>
          <w:rFonts w:ascii="Tahoma" w:hAnsi="Tahoma" w:cs="Tahoma"/>
          <w:sz w:val="22"/>
          <w:szCs w:val="22"/>
          <w:lang w:val="es-PE"/>
        </w:rPr>
        <w:t>Habiéndose advertido que el presente proceso deriva de un proceso de selección por Competencia M</w:t>
      </w:r>
      <w:r>
        <w:rPr>
          <w:rFonts w:ascii="Tahoma" w:hAnsi="Tahoma" w:cs="Tahoma"/>
          <w:sz w:val="22"/>
          <w:szCs w:val="22"/>
          <w:lang w:val="es-PE"/>
        </w:rPr>
        <w:t>enor</w:t>
      </w:r>
      <w:r w:rsidRPr="00C77CF4">
        <w:rPr>
          <w:rFonts w:ascii="Tahoma" w:hAnsi="Tahoma" w:cs="Tahoma"/>
          <w:sz w:val="22"/>
          <w:szCs w:val="22"/>
          <w:lang w:val="es-PE"/>
        </w:rPr>
        <w:t>, resulta pertinente evaluar el marco normativo que rige el citado proceso, a fin de determinar l</w:t>
      </w:r>
      <w:r>
        <w:rPr>
          <w:rFonts w:ascii="Tahoma" w:hAnsi="Tahoma" w:cs="Tahoma"/>
          <w:sz w:val="22"/>
          <w:szCs w:val="22"/>
          <w:lang w:val="es-PE"/>
        </w:rPr>
        <w:t xml:space="preserve">a competencia de este Tribunal </w:t>
      </w:r>
      <w:r w:rsidRPr="00C77CF4">
        <w:rPr>
          <w:rFonts w:ascii="Tahoma" w:hAnsi="Tahoma" w:cs="Tahoma"/>
          <w:sz w:val="22"/>
          <w:szCs w:val="22"/>
          <w:lang w:val="es-PE"/>
        </w:rPr>
        <w:t>para conocer la denuncia presentada por la Entidad.</w:t>
      </w:r>
    </w:p>
    <w:p w:rsidR="00A81882" w:rsidRPr="00C77CF4" w:rsidRDefault="00A81882" w:rsidP="00A81882">
      <w:pPr>
        <w:ind w:left="567"/>
        <w:jc w:val="both"/>
        <w:rPr>
          <w:rFonts w:ascii="Tahoma" w:hAnsi="Tahoma" w:cs="Tahoma"/>
          <w:b/>
          <w:sz w:val="22"/>
          <w:szCs w:val="22"/>
        </w:rPr>
      </w:pPr>
    </w:p>
    <w:p w:rsidR="00A81882" w:rsidRPr="00C77CF4" w:rsidRDefault="00A81882" w:rsidP="00A81882">
      <w:pPr>
        <w:numPr>
          <w:ilvl w:val="0"/>
          <w:numId w:val="9"/>
        </w:numPr>
        <w:tabs>
          <w:tab w:val="clear" w:pos="360"/>
        </w:tabs>
        <w:ind w:left="567" w:hanging="567"/>
        <w:jc w:val="both"/>
        <w:rPr>
          <w:rFonts w:ascii="Tahoma" w:hAnsi="Tahoma" w:cs="Tahoma"/>
          <w:b/>
          <w:sz w:val="22"/>
          <w:szCs w:val="22"/>
        </w:rPr>
      </w:pPr>
      <w:r w:rsidRPr="00C77CF4">
        <w:rPr>
          <w:rFonts w:ascii="Tahoma" w:hAnsi="Tahoma" w:cs="Tahoma"/>
          <w:sz w:val="22"/>
          <w:szCs w:val="22"/>
          <w:lang w:val="es-PE"/>
        </w:rPr>
        <w:t>Mediante Ley Nº 28840</w:t>
      </w:r>
      <w:r w:rsidRPr="00C77CF4">
        <w:rPr>
          <w:rFonts w:ascii="Tahoma" w:hAnsi="Tahoma" w:cs="Tahoma"/>
          <w:sz w:val="22"/>
          <w:szCs w:val="22"/>
          <w:vertAlign w:val="superscript"/>
          <w:lang w:val="es-PE"/>
        </w:rPr>
        <w:footnoteReference w:id="2"/>
      </w:r>
      <w:r w:rsidRPr="00C77CF4">
        <w:rPr>
          <w:rFonts w:ascii="Tahoma" w:hAnsi="Tahoma" w:cs="Tahoma"/>
          <w:sz w:val="22"/>
          <w:szCs w:val="22"/>
          <w:lang w:val="es-PE"/>
        </w:rPr>
        <w:t xml:space="preserve"> se declaró de interés nacional el fortalecimiento y modernización de Petróleos del Perú S.A.-PETROPERÚ, en lo sucesivo PETROPERÚ, estableciéndose que sus actividades deben desarrollarse en el marco de dicha Ley, su Ley Orgánica, el Decreto Legislativo Nº 43 y su modificatoria, la Ley Nº 26224, su Estatuto Social y supletoriamente por las disposiciones de la Ley General de Sociedades.</w:t>
      </w:r>
    </w:p>
    <w:p w:rsidR="00A81882" w:rsidRPr="00C77CF4" w:rsidRDefault="00A81882" w:rsidP="00A81882">
      <w:pPr>
        <w:pStyle w:val="Prrafodelista"/>
        <w:rPr>
          <w:rFonts w:ascii="Tahoma" w:hAnsi="Tahoma" w:cs="Tahoma"/>
          <w:sz w:val="22"/>
          <w:szCs w:val="22"/>
        </w:rPr>
      </w:pPr>
    </w:p>
    <w:p w:rsidR="00A81882" w:rsidRPr="00C77CF4" w:rsidRDefault="00A81882" w:rsidP="00A81882">
      <w:pPr>
        <w:numPr>
          <w:ilvl w:val="0"/>
          <w:numId w:val="9"/>
        </w:numPr>
        <w:tabs>
          <w:tab w:val="clear" w:pos="360"/>
        </w:tabs>
        <w:ind w:left="567" w:hanging="567"/>
        <w:jc w:val="both"/>
        <w:rPr>
          <w:rFonts w:ascii="Tahoma" w:hAnsi="Tahoma" w:cs="Tahoma"/>
          <w:b/>
          <w:sz w:val="22"/>
          <w:szCs w:val="22"/>
        </w:rPr>
      </w:pPr>
      <w:r w:rsidRPr="00C77CF4">
        <w:rPr>
          <w:rFonts w:ascii="Tahoma" w:hAnsi="Tahoma" w:cs="Tahoma"/>
          <w:sz w:val="22"/>
          <w:szCs w:val="22"/>
          <w:lang w:val="es-PE"/>
        </w:rPr>
        <w:lastRenderedPageBreak/>
        <w:t xml:space="preserve">La Segunda Disposición Complementaria de la Ley Nº 28840 refiere que las adquisiciones y contrataciones de PETROPERÚ se rigen por su Reglamento, propuesto por su Directorio y aprobado por el OSCE. Asimismo, establece que las modalidades de adquisiciones y contrataciones de PETROPERÚ serán definidas en su Reglamento y se regirán por los principios de eficiencia, economía, transparencia y auditabilidad, así como los demás principios contenidos en la legislación de la materia. </w:t>
      </w:r>
    </w:p>
    <w:p w:rsidR="00A81882" w:rsidRPr="00C77CF4" w:rsidRDefault="00A81882" w:rsidP="00A81882">
      <w:pPr>
        <w:pStyle w:val="Prrafodelista"/>
        <w:rPr>
          <w:rFonts w:ascii="Tahoma" w:hAnsi="Tahoma" w:cs="Tahoma"/>
          <w:sz w:val="22"/>
          <w:szCs w:val="22"/>
          <w:lang w:val="es-PE"/>
        </w:rPr>
      </w:pPr>
    </w:p>
    <w:p w:rsidR="00A81882" w:rsidRPr="00C77CF4" w:rsidRDefault="00A81882" w:rsidP="00A81882">
      <w:pPr>
        <w:numPr>
          <w:ilvl w:val="0"/>
          <w:numId w:val="9"/>
        </w:numPr>
        <w:tabs>
          <w:tab w:val="clear" w:pos="360"/>
        </w:tabs>
        <w:ind w:left="567" w:hanging="567"/>
        <w:jc w:val="both"/>
        <w:rPr>
          <w:rFonts w:ascii="Tahoma" w:hAnsi="Tahoma" w:cs="Tahoma"/>
          <w:b/>
          <w:sz w:val="22"/>
          <w:szCs w:val="22"/>
        </w:rPr>
      </w:pPr>
      <w:r w:rsidRPr="00C77CF4">
        <w:rPr>
          <w:rFonts w:ascii="Tahoma" w:hAnsi="Tahoma" w:cs="Tahoma"/>
          <w:sz w:val="22"/>
          <w:szCs w:val="22"/>
          <w:lang w:val="es-PE"/>
        </w:rPr>
        <w:t>En tal sentido, mediante Resolu</w:t>
      </w:r>
      <w:r>
        <w:rPr>
          <w:rFonts w:ascii="Tahoma" w:hAnsi="Tahoma" w:cs="Tahoma"/>
          <w:sz w:val="22"/>
          <w:szCs w:val="22"/>
          <w:lang w:val="es-PE"/>
        </w:rPr>
        <w:t>ción Nº 523-2009-OSCE</w:t>
      </w:r>
      <w:r w:rsidRPr="00C77CF4">
        <w:rPr>
          <w:rFonts w:ascii="Tahoma" w:hAnsi="Tahoma" w:cs="Tahoma"/>
          <w:sz w:val="22"/>
          <w:szCs w:val="22"/>
          <w:lang w:val="es-PE"/>
        </w:rPr>
        <w:t>/PRE</w:t>
      </w:r>
      <w:r w:rsidRPr="00C77CF4">
        <w:rPr>
          <w:rFonts w:ascii="Tahoma" w:hAnsi="Tahoma" w:cs="Tahoma"/>
          <w:sz w:val="22"/>
          <w:szCs w:val="22"/>
          <w:vertAlign w:val="superscript"/>
          <w:lang w:val="es-PE"/>
        </w:rPr>
        <w:footnoteReference w:id="3"/>
      </w:r>
      <w:r w:rsidRPr="00C77CF4">
        <w:rPr>
          <w:rFonts w:ascii="Tahoma" w:hAnsi="Tahoma" w:cs="Tahoma"/>
          <w:sz w:val="22"/>
          <w:szCs w:val="22"/>
          <w:lang w:val="es-PE"/>
        </w:rPr>
        <w:t xml:space="preserve"> se aprobó el Reglamento de Adquisiciones y Contrataciones de Petróleos del Perú S.A., en adelante el Reglamento de PETROPERÚ</w:t>
      </w:r>
      <w:r>
        <w:rPr>
          <w:rFonts w:ascii="Tahoma" w:hAnsi="Tahoma" w:cs="Tahoma"/>
          <w:sz w:val="22"/>
          <w:szCs w:val="22"/>
          <w:lang w:val="es-PE"/>
        </w:rPr>
        <w:t>,</w:t>
      </w:r>
      <w:r w:rsidRPr="00C77CF4">
        <w:rPr>
          <w:rFonts w:ascii="Tahoma" w:hAnsi="Tahoma" w:cs="Tahoma"/>
          <w:sz w:val="22"/>
          <w:szCs w:val="22"/>
          <w:lang w:val="es-PE"/>
        </w:rPr>
        <w:t xml:space="preserve"> el cual tiene como objetivo regular de manera integral y uniforme los procedimientos de adquisiciones de bienes y contrataciones de servicios y obras necesarios para el cumplimiento del objeto social de PETROPERÚ.</w:t>
      </w:r>
    </w:p>
    <w:p w:rsidR="00A81882" w:rsidRPr="00C77CF4" w:rsidRDefault="00A81882" w:rsidP="00A81882">
      <w:pPr>
        <w:pStyle w:val="Prrafodelista"/>
        <w:rPr>
          <w:rFonts w:ascii="Tahoma" w:hAnsi="Tahoma" w:cs="Tahoma"/>
          <w:sz w:val="22"/>
          <w:szCs w:val="22"/>
        </w:rPr>
      </w:pPr>
    </w:p>
    <w:p w:rsidR="00A81882" w:rsidRPr="00603BE6" w:rsidRDefault="00A81882" w:rsidP="00A81882">
      <w:pPr>
        <w:numPr>
          <w:ilvl w:val="0"/>
          <w:numId w:val="9"/>
        </w:numPr>
        <w:tabs>
          <w:tab w:val="clear" w:pos="360"/>
        </w:tabs>
        <w:ind w:left="567" w:hanging="567"/>
        <w:jc w:val="both"/>
        <w:rPr>
          <w:rFonts w:ascii="Tahoma" w:hAnsi="Tahoma" w:cs="Tahoma"/>
          <w:b/>
          <w:sz w:val="22"/>
          <w:szCs w:val="22"/>
        </w:rPr>
      </w:pPr>
      <w:r w:rsidRPr="00603BE6">
        <w:rPr>
          <w:rFonts w:ascii="Tahoma" w:hAnsi="Tahoma" w:cs="Tahoma"/>
          <w:sz w:val="22"/>
          <w:szCs w:val="22"/>
          <w:lang w:val="es-ES_tradnl"/>
        </w:rPr>
        <w:t xml:space="preserve">Asimismo, el numeral 5.12 del citado Reglamento de PETROPERÚ, dispone que con relación al Registro Nacional de Proveedores (RNP), Sistema Electrónico de Contrataciones del Estado (SEACE), recursos de impugnación y </w:t>
      </w:r>
      <w:r w:rsidRPr="00603BE6">
        <w:rPr>
          <w:rFonts w:ascii="Tahoma" w:hAnsi="Tahoma" w:cs="Tahoma"/>
          <w:b/>
          <w:sz w:val="22"/>
          <w:szCs w:val="22"/>
          <w:lang w:val="es-ES_tradnl"/>
        </w:rPr>
        <w:t xml:space="preserve">procedimientos administrativos sancionadores que se tramitan ante el Tribunal de Contrataciones del Estado, </w:t>
      </w:r>
      <w:r w:rsidRPr="00603BE6">
        <w:rPr>
          <w:rFonts w:ascii="Tahoma" w:hAnsi="Tahoma" w:cs="Tahoma"/>
          <w:sz w:val="22"/>
          <w:szCs w:val="22"/>
          <w:lang w:val="es-ES_tradnl"/>
        </w:rPr>
        <w:t>será de aplicación el Decreto Legislativo Nº 1017, Ley de Contrataciones del Estado y su Reglamento aprobado por Decreto Supremo Nº 184-2008-EF</w:t>
      </w:r>
      <w:r>
        <w:rPr>
          <w:rFonts w:ascii="Tahoma" w:hAnsi="Tahoma" w:cs="Tahoma"/>
          <w:sz w:val="22"/>
          <w:szCs w:val="22"/>
          <w:lang w:val="es-ES_tradnl"/>
        </w:rPr>
        <w:t>.</w:t>
      </w:r>
    </w:p>
    <w:p w:rsidR="00A81882" w:rsidRDefault="00A81882" w:rsidP="00A81882">
      <w:pPr>
        <w:pStyle w:val="Prrafodelista"/>
        <w:rPr>
          <w:rFonts w:ascii="Tahoma" w:hAnsi="Tahoma" w:cs="Tahoma"/>
          <w:sz w:val="22"/>
          <w:szCs w:val="22"/>
        </w:rPr>
      </w:pPr>
    </w:p>
    <w:p w:rsidR="00A81882" w:rsidRPr="00581875" w:rsidRDefault="00A81882" w:rsidP="00A81882">
      <w:pPr>
        <w:numPr>
          <w:ilvl w:val="0"/>
          <w:numId w:val="9"/>
        </w:numPr>
        <w:tabs>
          <w:tab w:val="clear" w:pos="360"/>
        </w:tabs>
        <w:ind w:left="567" w:hanging="567"/>
        <w:jc w:val="both"/>
        <w:rPr>
          <w:rFonts w:ascii="Tahoma" w:hAnsi="Tahoma" w:cs="Tahoma"/>
          <w:b/>
          <w:sz w:val="22"/>
          <w:szCs w:val="22"/>
        </w:rPr>
      </w:pPr>
      <w:r w:rsidRPr="00603BE6">
        <w:rPr>
          <w:rFonts w:ascii="Tahoma" w:hAnsi="Tahoma" w:cs="Tahoma"/>
          <w:sz w:val="22"/>
          <w:szCs w:val="22"/>
          <w:lang w:val="es-ES_tradnl"/>
        </w:rPr>
        <w:t>Por estas consideraciones, este Colegiado resulta</w:t>
      </w:r>
      <w:r w:rsidRPr="00603BE6">
        <w:rPr>
          <w:rFonts w:ascii="Tahoma" w:hAnsi="Tahoma" w:cs="Tahoma"/>
          <w:b/>
          <w:sz w:val="22"/>
          <w:szCs w:val="22"/>
          <w:lang w:val="es-ES_tradnl"/>
        </w:rPr>
        <w:t xml:space="preserve"> </w:t>
      </w:r>
      <w:r w:rsidRPr="00603BE6">
        <w:rPr>
          <w:rFonts w:ascii="Tahoma" w:hAnsi="Tahoma" w:cs="Tahoma"/>
          <w:sz w:val="22"/>
          <w:szCs w:val="22"/>
          <w:lang w:val="es-PE"/>
        </w:rPr>
        <w:t>competente para pronunciarse sobre la supuesta responsabilidad de</w:t>
      </w:r>
      <w:r>
        <w:rPr>
          <w:rFonts w:ascii="Tahoma" w:hAnsi="Tahoma" w:cs="Tahoma"/>
          <w:sz w:val="22"/>
          <w:szCs w:val="22"/>
          <w:lang w:val="es-PE"/>
        </w:rPr>
        <w:t xml:space="preserve"> la Denunciada</w:t>
      </w:r>
      <w:r w:rsidRPr="00603BE6">
        <w:rPr>
          <w:rFonts w:ascii="Tahoma" w:hAnsi="Tahoma" w:cs="Tahoma"/>
          <w:sz w:val="22"/>
          <w:szCs w:val="22"/>
          <w:lang w:val="es-PE"/>
        </w:rPr>
        <w:t>,</w:t>
      </w:r>
      <w:r>
        <w:rPr>
          <w:rFonts w:ascii="Tahoma" w:hAnsi="Tahoma" w:cs="Tahoma"/>
          <w:sz w:val="22"/>
          <w:szCs w:val="22"/>
        </w:rPr>
        <w:t xml:space="preserve"> por la presentación de documentos falsos o inexactos, </w:t>
      </w:r>
      <w:r w:rsidRPr="00603BE6">
        <w:rPr>
          <w:rFonts w:ascii="Tahoma" w:hAnsi="Tahoma" w:cs="Tahoma"/>
          <w:sz w:val="22"/>
          <w:szCs w:val="22"/>
        </w:rPr>
        <w:t>infracción prevista en el</w:t>
      </w:r>
      <w:r>
        <w:rPr>
          <w:rFonts w:ascii="Tahoma" w:eastAsia="MS Mincho" w:hAnsi="Tahoma" w:cs="Tahoma"/>
          <w:sz w:val="22"/>
          <w:szCs w:val="22"/>
        </w:rPr>
        <w:t xml:space="preserve"> literal i</w:t>
      </w:r>
      <w:r w:rsidRPr="00603BE6">
        <w:rPr>
          <w:rFonts w:ascii="Tahoma" w:eastAsia="MS Mincho" w:hAnsi="Tahoma" w:cs="Tahoma"/>
          <w:sz w:val="22"/>
          <w:szCs w:val="22"/>
        </w:rPr>
        <w:t>) del numeral 51.1 del artículo 51 de la Ley de Contrataciones del Estado, aprobado mediante Decreto Legislativo Nº 1017, en</w:t>
      </w:r>
      <w:r>
        <w:rPr>
          <w:rFonts w:ascii="Tahoma" w:eastAsia="MS Mincho" w:hAnsi="Tahoma" w:cs="Tahoma"/>
          <w:sz w:val="22"/>
          <w:szCs w:val="22"/>
        </w:rPr>
        <w:t xml:space="preserve"> adelante la Ley, y el literal i</w:t>
      </w:r>
      <w:r w:rsidRPr="00603BE6">
        <w:rPr>
          <w:rFonts w:ascii="Tahoma" w:eastAsia="MS Mincho" w:hAnsi="Tahoma" w:cs="Tahoma"/>
          <w:sz w:val="22"/>
          <w:szCs w:val="22"/>
        </w:rPr>
        <w:t>) del numeral 1 del artículo 237 del Reglamento de la Ley de Contrataciones del Estado, aprobado mediante Decreto Supremo Nº 184-2008-EF, en adelante el Reglamento</w:t>
      </w:r>
      <w:r w:rsidRPr="00603BE6">
        <w:rPr>
          <w:rFonts w:ascii="Tahoma" w:hAnsi="Tahoma" w:cs="Tahoma"/>
          <w:sz w:val="22"/>
          <w:szCs w:val="22"/>
        </w:rPr>
        <w:t>, normas vigente al momento de producirse los hechos que motivaron la resolución de dicho contrato.</w:t>
      </w:r>
    </w:p>
    <w:p w:rsidR="00A81882" w:rsidRPr="003A3825" w:rsidRDefault="00A81882" w:rsidP="00A81882">
      <w:pPr>
        <w:widowControl w:val="0"/>
        <w:suppressAutoHyphens/>
        <w:rPr>
          <w:rFonts w:ascii="Tahoma" w:eastAsia="MS Mincho" w:hAnsi="Tahoma" w:cs="Tahoma"/>
          <w:sz w:val="22"/>
          <w:szCs w:val="22"/>
          <w:lang w:val="es-ES_tradnl"/>
        </w:rPr>
      </w:pPr>
    </w:p>
    <w:p w:rsidR="00A81882" w:rsidRPr="003A3825" w:rsidRDefault="00A81882" w:rsidP="00A81882">
      <w:pPr>
        <w:widowControl w:val="0"/>
        <w:suppressAutoHyphens/>
        <w:ind w:left="567"/>
        <w:jc w:val="both"/>
        <w:rPr>
          <w:rFonts w:ascii="Tahoma" w:eastAsia="MS Mincho" w:hAnsi="Tahoma" w:cs="Tahoma"/>
          <w:b/>
          <w:i/>
          <w:sz w:val="22"/>
          <w:szCs w:val="22"/>
          <w:lang w:val="es-ES_tradnl"/>
        </w:rPr>
      </w:pPr>
      <w:r w:rsidRPr="003A3825">
        <w:rPr>
          <w:rFonts w:ascii="Tahoma" w:eastAsia="MS Mincho" w:hAnsi="Tahoma" w:cs="Tahoma"/>
          <w:b/>
          <w:i/>
          <w:sz w:val="22"/>
          <w:szCs w:val="22"/>
          <w:lang w:val="es-ES_tradnl"/>
        </w:rPr>
        <w:t>Respecto a la eventual responsabilidad de la Denunciada por la presentación de documentos falsos o inexactos</w:t>
      </w:r>
    </w:p>
    <w:p w:rsidR="00A81882" w:rsidRDefault="00A81882" w:rsidP="00A81882">
      <w:pPr>
        <w:widowControl w:val="0"/>
        <w:suppressAutoHyphens/>
        <w:ind w:left="720"/>
        <w:rPr>
          <w:rFonts w:ascii="Tahoma" w:eastAsia="MS Mincho" w:hAnsi="Tahoma" w:cs="Tahoma"/>
          <w:b/>
          <w:sz w:val="22"/>
          <w:szCs w:val="22"/>
          <w:lang w:val="es-ES_tradnl"/>
        </w:rPr>
      </w:pPr>
    </w:p>
    <w:p w:rsidR="00A81882" w:rsidRPr="00560151" w:rsidRDefault="00A81882" w:rsidP="00A81882">
      <w:pPr>
        <w:numPr>
          <w:ilvl w:val="0"/>
          <w:numId w:val="9"/>
        </w:numPr>
        <w:tabs>
          <w:tab w:val="clear" w:pos="360"/>
        </w:tabs>
        <w:ind w:left="567" w:hanging="567"/>
        <w:jc w:val="both"/>
        <w:rPr>
          <w:rFonts w:ascii="Tahoma" w:hAnsi="Tahoma" w:cs="Tahoma"/>
          <w:b/>
          <w:sz w:val="22"/>
          <w:szCs w:val="22"/>
        </w:rPr>
      </w:pPr>
      <w:r w:rsidRPr="00581875">
        <w:rPr>
          <w:rFonts w:ascii="Tahoma" w:eastAsia="MS Mincho" w:hAnsi="Tahoma" w:cs="Tahoma"/>
          <w:sz w:val="22"/>
          <w:szCs w:val="22"/>
          <w:lang w:val="es-ES_tradnl"/>
        </w:rPr>
        <w:t>Sobre el particular, el literal i) del artículo 51 de la Ley, concordante con el artículo 237 del Reglamento establece que los agentes privados de la contratación incurrirán en infracción susceptible de sanción cuando presenten documentos falsos o información inexacta a las Entidades , al Tribunal o al OSCE. Dicha infracción se configura con la sola presentación del documento falso o inexacto, sin que la norma e</w:t>
      </w:r>
      <w:r>
        <w:rPr>
          <w:rFonts w:ascii="Tahoma" w:eastAsia="MS Mincho" w:hAnsi="Tahoma" w:cs="Tahoma"/>
          <w:sz w:val="22"/>
          <w:szCs w:val="22"/>
          <w:lang w:val="es-ES_tradnl"/>
        </w:rPr>
        <w:t>xija otros factores adicionales</w:t>
      </w:r>
      <w:r w:rsidRPr="00581875">
        <w:rPr>
          <w:rFonts w:ascii="Tahoma" w:eastAsia="MS Mincho" w:hAnsi="Tahoma" w:cs="Tahoma"/>
          <w:sz w:val="22"/>
          <w:szCs w:val="22"/>
          <w:lang w:val="es-ES_tradnl"/>
        </w:rPr>
        <w:t xml:space="preserve">; es decir, con la sola </w:t>
      </w:r>
      <w:r w:rsidRPr="00581875">
        <w:rPr>
          <w:rFonts w:ascii="Tahoma" w:eastAsia="MS Mincho" w:hAnsi="Tahoma" w:cs="Tahoma"/>
          <w:sz w:val="22"/>
          <w:szCs w:val="22"/>
          <w:lang w:val="es-ES_tradnl"/>
        </w:rPr>
        <w:lastRenderedPageBreak/>
        <w:t>afectación del Principio de Presunción de Veracidad</w:t>
      </w:r>
      <w:r w:rsidRPr="003A3825">
        <w:rPr>
          <w:rFonts w:ascii="Tahoma" w:eastAsia="MS Mincho" w:hAnsi="Tahoma" w:cs="Tahoma"/>
          <w:sz w:val="22"/>
          <w:szCs w:val="22"/>
          <w:vertAlign w:val="superscript"/>
          <w:lang w:val="es-ES_tradnl"/>
        </w:rPr>
        <w:footnoteReference w:id="4"/>
      </w:r>
      <w:r w:rsidRPr="00581875">
        <w:rPr>
          <w:rFonts w:ascii="Tahoma" w:eastAsia="MS Mincho" w:hAnsi="Tahoma" w:cs="Tahoma"/>
          <w:sz w:val="22"/>
          <w:szCs w:val="22"/>
          <w:lang w:val="es-ES_tradnl"/>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A81882" w:rsidRPr="00560151" w:rsidRDefault="00A81882" w:rsidP="00A81882">
      <w:pPr>
        <w:ind w:left="567"/>
        <w:jc w:val="both"/>
        <w:rPr>
          <w:rFonts w:ascii="Tahoma" w:hAnsi="Tahoma" w:cs="Tahoma"/>
          <w:b/>
          <w:sz w:val="22"/>
          <w:szCs w:val="22"/>
        </w:rPr>
      </w:pPr>
    </w:p>
    <w:p w:rsidR="00A81882" w:rsidRPr="00560151" w:rsidRDefault="00A81882" w:rsidP="00A81882">
      <w:pPr>
        <w:numPr>
          <w:ilvl w:val="0"/>
          <w:numId w:val="9"/>
        </w:numPr>
        <w:tabs>
          <w:tab w:val="clear" w:pos="360"/>
        </w:tabs>
        <w:ind w:left="567" w:hanging="567"/>
        <w:jc w:val="both"/>
        <w:rPr>
          <w:rFonts w:ascii="Tahoma" w:hAnsi="Tahoma" w:cs="Tahoma"/>
          <w:b/>
          <w:sz w:val="22"/>
          <w:szCs w:val="22"/>
        </w:rPr>
      </w:pPr>
      <w:r w:rsidRPr="00560151">
        <w:rPr>
          <w:rFonts w:ascii="Tahoma" w:eastAsia="MS Mincho" w:hAnsi="Tahoma" w:cs="Tahoma"/>
          <w:sz w:val="22"/>
          <w:szCs w:val="22"/>
          <w:lang w:val="es-ES_tradnl"/>
        </w:rPr>
        <w:t xml:space="preserve">Asimismo, </w:t>
      </w:r>
      <w:r w:rsidRPr="00560151">
        <w:rPr>
          <w:rFonts w:ascii="Tahoma" w:eastAsia="MS Mincho" w:hAnsi="Tahoma" w:cs="Tahoma"/>
          <w:sz w:val="22"/>
          <w:szCs w:val="22"/>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560151">
        <w:rPr>
          <w:rFonts w:ascii="Tahoma" w:eastAsia="MS Mincho" w:hAnsi="Tahoma" w:cs="Tahoma"/>
          <w:b/>
          <w:bCs/>
          <w:sz w:val="22"/>
          <w:szCs w:val="22"/>
          <w:lang w:val="es-MX"/>
        </w:rPr>
        <w:t>se presumen verificados por quien hace uso de ellos, así como de contenido veraz para fines del procedimiento administrativo</w:t>
      </w:r>
      <w:r w:rsidRPr="00560151">
        <w:rPr>
          <w:rFonts w:ascii="Tahoma" w:eastAsia="MS Mincho" w:hAnsi="Tahoma" w:cs="Tahoma"/>
          <w:sz w:val="22"/>
          <w:szCs w:val="22"/>
          <w:lang w:val="es-MX"/>
        </w:rPr>
        <w:t xml:space="preserve">. Sin embargo, esta presunción es de índole </w:t>
      </w:r>
      <w:r w:rsidRPr="00560151">
        <w:rPr>
          <w:rFonts w:ascii="Tahoma" w:eastAsia="MS Mincho" w:hAnsi="Tahoma" w:cs="Tahoma"/>
          <w:i/>
          <w:iCs/>
          <w:sz w:val="22"/>
          <w:szCs w:val="22"/>
          <w:lang w:val="es-MX"/>
        </w:rPr>
        <w:t>juris tantum</w:t>
      </w:r>
      <w:r w:rsidRPr="00560151">
        <w:rPr>
          <w:rFonts w:ascii="Tahoma" w:eastAsia="MS Mincho" w:hAnsi="Tahoma" w:cs="Tahoma"/>
          <w:sz w:val="22"/>
          <w:szCs w:val="22"/>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A81882" w:rsidRDefault="00A81882" w:rsidP="00A81882">
      <w:pPr>
        <w:pStyle w:val="Prrafodelista"/>
        <w:rPr>
          <w:rFonts w:ascii="Tahoma" w:hAnsi="Tahoma" w:cs="Tahoma"/>
          <w:b/>
          <w:sz w:val="22"/>
          <w:szCs w:val="22"/>
        </w:rPr>
      </w:pPr>
    </w:p>
    <w:p w:rsidR="00A81882" w:rsidRPr="00560151" w:rsidRDefault="00A81882" w:rsidP="00A81882">
      <w:pPr>
        <w:numPr>
          <w:ilvl w:val="0"/>
          <w:numId w:val="9"/>
        </w:numPr>
        <w:tabs>
          <w:tab w:val="clear" w:pos="360"/>
        </w:tabs>
        <w:ind w:left="567" w:hanging="567"/>
        <w:jc w:val="both"/>
        <w:rPr>
          <w:rFonts w:ascii="Tahoma" w:hAnsi="Tahoma" w:cs="Tahoma"/>
          <w:b/>
          <w:sz w:val="22"/>
          <w:szCs w:val="22"/>
        </w:rPr>
      </w:pPr>
      <w:r w:rsidRPr="00560151">
        <w:rPr>
          <w:rFonts w:ascii="Tahoma" w:eastAsia="MS Mincho" w:hAnsi="Tahoma" w:cs="Tahoma"/>
          <w:sz w:val="22"/>
          <w:szCs w:val="22"/>
          <w:lang w:val="es-ES_tradnl"/>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A81882" w:rsidRDefault="00A81882" w:rsidP="00A81882">
      <w:pPr>
        <w:pStyle w:val="Prrafodelista"/>
        <w:rPr>
          <w:rFonts w:ascii="Tahoma" w:hAnsi="Tahoma" w:cs="Tahoma"/>
          <w:b/>
          <w:sz w:val="22"/>
          <w:szCs w:val="22"/>
        </w:rPr>
      </w:pPr>
    </w:p>
    <w:p w:rsidR="00A81882" w:rsidRPr="00560151" w:rsidRDefault="00A81882" w:rsidP="00A81882">
      <w:pPr>
        <w:numPr>
          <w:ilvl w:val="0"/>
          <w:numId w:val="9"/>
        </w:numPr>
        <w:tabs>
          <w:tab w:val="clear" w:pos="360"/>
        </w:tabs>
        <w:ind w:left="567" w:hanging="567"/>
        <w:jc w:val="both"/>
        <w:rPr>
          <w:rFonts w:ascii="Tahoma" w:hAnsi="Tahoma" w:cs="Tahoma"/>
          <w:b/>
          <w:sz w:val="22"/>
          <w:szCs w:val="22"/>
        </w:rPr>
      </w:pPr>
      <w:r w:rsidRPr="00560151">
        <w:rPr>
          <w:rFonts w:ascii="Tahoma" w:eastAsia="MS Mincho" w:hAnsi="Tahoma" w:cs="Tahoma"/>
          <w:sz w:val="22"/>
          <w:szCs w:val="22"/>
          <w:lang w:val="es-ES_tradnl"/>
        </w:rPr>
        <w:t xml:space="preserve">En línea con lo anterior, el literal c) del numeral 1 del artículo 42 del Reglamento establece que los postores y/o contratistas </w:t>
      </w:r>
      <w:r w:rsidRPr="00560151">
        <w:rPr>
          <w:rFonts w:ascii="Tahoma" w:eastAsia="MS Mincho" w:hAnsi="Tahoma" w:cs="Tahoma"/>
          <w:b/>
          <w:sz w:val="22"/>
          <w:szCs w:val="22"/>
          <w:lang w:val="es-ES_tradnl"/>
        </w:rPr>
        <w:t>son responsables de la veracidad de los documentos e información que presentan para efectos de un proceso de selección determinado</w:t>
      </w:r>
      <w:r w:rsidRPr="00560151">
        <w:rPr>
          <w:rFonts w:ascii="Tahoma" w:eastAsia="MS Mincho" w:hAnsi="Tahoma" w:cs="Tahoma"/>
          <w:sz w:val="22"/>
          <w:szCs w:val="22"/>
          <w:lang w:val="es-ES_tradnl"/>
        </w:rPr>
        <w:t>.</w:t>
      </w:r>
    </w:p>
    <w:p w:rsidR="00A81882" w:rsidRDefault="00A81882" w:rsidP="00A81882">
      <w:pPr>
        <w:pStyle w:val="Prrafodelista"/>
        <w:rPr>
          <w:rFonts w:ascii="Tahoma" w:hAnsi="Tahoma" w:cs="Tahoma"/>
          <w:b/>
          <w:sz w:val="22"/>
          <w:szCs w:val="22"/>
        </w:rPr>
      </w:pPr>
    </w:p>
    <w:p w:rsidR="00A81882" w:rsidRPr="00A639C6" w:rsidRDefault="00A81882" w:rsidP="00A81882">
      <w:pPr>
        <w:numPr>
          <w:ilvl w:val="0"/>
          <w:numId w:val="9"/>
        </w:numPr>
        <w:tabs>
          <w:tab w:val="clear" w:pos="360"/>
        </w:tabs>
        <w:ind w:left="567" w:hanging="567"/>
        <w:jc w:val="both"/>
        <w:rPr>
          <w:rFonts w:ascii="Tahoma" w:hAnsi="Tahoma" w:cs="Tahoma"/>
          <w:b/>
          <w:sz w:val="22"/>
          <w:szCs w:val="22"/>
        </w:rPr>
      </w:pPr>
      <w:r w:rsidRPr="00560151">
        <w:rPr>
          <w:rFonts w:ascii="Tahoma" w:eastAsia="MS Mincho" w:hAnsi="Tahoma" w:cs="Tahoma"/>
          <w:sz w:val="22"/>
          <w:szCs w:val="22"/>
          <w:lang w:val="es-ES_tradnl"/>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A81882" w:rsidRPr="003A3825" w:rsidRDefault="00A81882" w:rsidP="00A81882">
      <w:pPr>
        <w:jc w:val="both"/>
        <w:rPr>
          <w:rFonts w:ascii="Tahoma" w:eastAsia="MS Mincho" w:hAnsi="Tahoma" w:cs="Tahoma"/>
          <w:sz w:val="22"/>
          <w:szCs w:val="22"/>
          <w:lang w:val="es-PE"/>
        </w:rPr>
      </w:pPr>
    </w:p>
    <w:p w:rsidR="00A81882" w:rsidRPr="003A3825" w:rsidRDefault="00A81882" w:rsidP="00A81882">
      <w:pPr>
        <w:ind w:left="567"/>
        <w:jc w:val="both"/>
        <w:rPr>
          <w:rFonts w:ascii="Tahoma" w:eastAsia="MS Mincho" w:hAnsi="Tahoma" w:cs="Tahoma"/>
          <w:sz w:val="22"/>
          <w:szCs w:val="22"/>
          <w:lang w:val="es-ES_tradnl"/>
        </w:rPr>
      </w:pPr>
      <w:r w:rsidRPr="003A3825">
        <w:rPr>
          <w:rFonts w:ascii="Tahoma" w:eastAsia="MS Mincho" w:hAnsi="Tahoma" w:cs="Tahoma"/>
          <w:sz w:val="22"/>
          <w:szCs w:val="22"/>
          <w:lang w:val="es-PE"/>
        </w:rPr>
        <w:t xml:space="preserve">Por otro lado, la infracción referida a información inexacta se configura ante la presentación de documentos no concordantes con la realidad, que constituye una </w:t>
      </w:r>
      <w:r w:rsidRPr="003A3825">
        <w:rPr>
          <w:rFonts w:ascii="Tahoma" w:eastAsia="MS Mincho" w:hAnsi="Tahoma" w:cs="Tahoma"/>
          <w:sz w:val="22"/>
          <w:szCs w:val="22"/>
          <w:lang w:val="es-PE"/>
        </w:rPr>
        <w:lastRenderedPageBreak/>
        <w:t xml:space="preserve">forma de falseamiento de la misma, a través del quebrantamiento de los </w:t>
      </w:r>
      <w:r w:rsidRPr="003A3825">
        <w:rPr>
          <w:rFonts w:ascii="Tahoma" w:eastAsia="MS Mincho" w:hAnsi="Tahoma" w:cs="Tahoma"/>
          <w:i/>
          <w:iCs/>
          <w:sz w:val="22"/>
          <w:szCs w:val="22"/>
          <w:lang w:val="es-PE"/>
        </w:rPr>
        <w:t>Principios de Moralidad</w:t>
      </w:r>
      <w:r w:rsidRPr="003A3825">
        <w:rPr>
          <w:rFonts w:ascii="Tahoma" w:eastAsia="MS Mincho" w:hAnsi="Tahoma" w:cs="Tahoma"/>
          <w:sz w:val="22"/>
          <w:szCs w:val="22"/>
          <w:lang w:val="es-PE"/>
        </w:rPr>
        <w:t xml:space="preserve"> y de </w:t>
      </w:r>
      <w:r w:rsidRPr="003A3825">
        <w:rPr>
          <w:rFonts w:ascii="Tahoma" w:eastAsia="MS Mincho" w:hAnsi="Tahoma" w:cs="Tahoma"/>
          <w:i/>
          <w:sz w:val="22"/>
          <w:szCs w:val="22"/>
          <w:lang w:val="es-PE"/>
        </w:rPr>
        <w:t>P</w:t>
      </w:r>
      <w:r w:rsidRPr="003A3825">
        <w:rPr>
          <w:rFonts w:ascii="Tahoma" w:eastAsia="MS Mincho" w:hAnsi="Tahoma" w:cs="Tahoma"/>
          <w:i/>
          <w:iCs/>
          <w:sz w:val="22"/>
          <w:szCs w:val="22"/>
          <w:lang w:val="es-PE"/>
        </w:rPr>
        <w:t>resunción de Veracidad.</w:t>
      </w:r>
    </w:p>
    <w:p w:rsidR="00A81882" w:rsidRDefault="00A81882" w:rsidP="00A81882">
      <w:pPr>
        <w:jc w:val="both"/>
        <w:rPr>
          <w:rFonts w:ascii="Tahoma" w:eastAsia="MS Mincho" w:hAnsi="Tahoma" w:cs="Tahoma"/>
          <w:sz w:val="22"/>
          <w:szCs w:val="22"/>
          <w:lang w:val="es-ES_tradnl"/>
        </w:rPr>
      </w:pPr>
    </w:p>
    <w:p w:rsidR="00A81882" w:rsidRPr="001E0F17" w:rsidRDefault="00A81882" w:rsidP="00A81882">
      <w:pPr>
        <w:numPr>
          <w:ilvl w:val="0"/>
          <w:numId w:val="9"/>
        </w:numPr>
        <w:tabs>
          <w:tab w:val="clear" w:pos="360"/>
        </w:tabs>
        <w:ind w:left="567" w:hanging="567"/>
        <w:jc w:val="both"/>
        <w:rPr>
          <w:rFonts w:ascii="Tahoma" w:hAnsi="Tahoma" w:cs="Tahoma"/>
          <w:b/>
          <w:sz w:val="22"/>
          <w:szCs w:val="22"/>
        </w:rPr>
      </w:pPr>
      <w:r w:rsidRPr="00A639C6">
        <w:rPr>
          <w:rFonts w:ascii="Tahoma" w:eastAsia="MS Mincho" w:hAnsi="Tahoma" w:cs="Tahoma"/>
          <w:sz w:val="22"/>
          <w:szCs w:val="22"/>
          <w:lang w:val="es-ES_tradnl"/>
        </w:rPr>
        <w:t>En el caso que nos ocupa, se imputa a la Denunciada haber presentado documentación falsa o información inexacta, al adjuntar como parte de s</w:t>
      </w:r>
      <w:r>
        <w:rPr>
          <w:rFonts w:ascii="Tahoma" w:eastAsia="MS Mincho" w:hAnsi="Tahoma" w:cs="Tahoma"/>
          <w:sz w:val="22"/>
          <w:szCs w:val="22"/>
          <w:lang w:val="es-ES_tradnl"/>
        </w:rPr>
        <w:t xml:space="preserve">u propuesta técnica copia de </w:t>
      </w:r>
      <w:r w:rsidRPr="006070B0">
        <w:rPr>
          <w:rFonts w:ascii="Tahoma" w:eastAsia="MS Mincho" w:hAnsi="Tahoma" w:cs="Tahoma"/>
          <w:sz w:val="22"/>
          <w:szCs w:val="22"/>
          <w:lang w:val="es-ES_tradnl"/>
        </w:rPr>
        <w:t>la</w:t>
      </w:r>
      <w:r>
        <w:rPr>
          <w:rFonts w:ascii="Tahoma" w:eastAsia="MS Mincho" w:hAnsi="Tahoma" w:cs="Tahoma"/>
          <w:sz w:val="22"/>
          <w:szCs w:val="22"/>
          <w:lang w:val="es-ES_tradnl"/>
        </w:rPr>
        <w:t>s C</w:t>
      </w:r>
      <w:r w:rsidRPr="006070B0">
        <w:rPr>
          <w:rFonts w:ascii="Tahoma" w:eastAsia="MS Mincho" w:hAnsi="Tahoma" w:cs="Tahoma"/>
          <w:sz w:val="22"/>
          <w:szCs w:val="22"/>
          <w:lang w:val="es-ES_tradnl"/>
        </w:rPr>
        <w:t>onstancia</w:t>
      </w:r>
      <w:r>
        <w:rPr>
          <w:rFonts w:ascii="Tahoma" w:eastAsia="MS Mincho" w:hAnsi="Tahoma" w:cs="Tahoma"/>
          <w:sz w:val="22"/>
          <w:szCs w:val="22"/>
          <w:lang w:val="es-ES_tradnl"/>
        </w:rPr>
        <w:t>s</w:t>
      </w:r>
      <w:r w:rsidRPr="006070B0">
        <w:rPr>
          <w:rFonts w:ascii="Tahoma" w:eastAsia="MS Mincho" w:hAnsi="Tahoma" w:cs="Tahoma"/>
          <w:sz w:val="22"/>
          <w:szCs w:val="22"/>
          <w:lang w:val="es-ES_tradnl"/>
        </w:rPr>
        <w:t xml:space="preserve"> </w:t>
      </w:r>
      <w:r>
        <w:rPr>
          <w:rFonts w:ascii="Tahoma" w:eastAsia="MS Mincho" w:hAnsi="Tahoma" w:cs="Tahoma"/>
          <w:sz w:val="22"/>
          <w:szCs w:val="22"/>
          <w:lang w:val="es-ES_tradnl"/>
        </w:rPr>
        <w:t>de Registro de fecha 14 de abril del 2010, correspondiente a los números Nº 0022-CCCL-04-2000, Nº 0033-CCCL-04-2010 y Nº 0014-CCCL-04-2007, expedidas por la Gerencia Regional de Energía y Minas – Gobierno Regional de Arequipa</w:t>
      </w:r>
      <w:r w:rsidRPr="00A639C6">
        <w:rPr>
          <w:rFonts w:ascii="Tahoma" w:eastAsia="MS Mincho" w:hAnsi="Tahoma" w:cs="Tahoma"/>
          <w:sz w:val="22"/>
          <w:szCs w:val="22"/>
          <w:lang w:val="es-ES_tradnl"/>
        </w:rPr>
        <w:t>.</w:t>
      </w:r>
    </w:p>
    <w:p w:rsidR="00A81882" w:rsidRPr="001E0F17" w:rsidRDefault="00A81882" w:rsidP="00A81882">
      <w:pPr>
        <w:ind w:left="567"/>
        <w:jc w:val="both"/>
        <w:rPr>
          <w:rFonts w:ascii="Tahoma" w:hAnsi="Tahoma" w:cs="Tahoma"/>
          <w:b/>
          <w:sz w:val="22"/>
          <w:szCs w:val="22"/>
        </w:rPr>
      </w:pPr>
    </w:p>
    <w:p w:rsidR="00A81882" w:rsidRPr="001E0F17" w:rsidRDefault="00A81882" w:rsidP="00A81882">
      <w:pPr>
        <w:numPr>
          <w:ilvl w:val="0"/>
          <w:numId w:val="9"/>
        </w:numPr>
        <w:tabs>
          <w:tab w:val="clear" w:pos="360"/>
        </w:tabs>
        <w:ind w:left="567" w:hanging="567"/>
        <w:jc w:val="both"/>
        <w:rPr>
          <w:rFonts w:ascii="Tahoma" w:hAnsi="Tahoma" w:cs="Tahoma"/>
          <w:b/>
          <w:sz w:val="22"/>
          <w:szCs w:val="22"/>
        </w:rPr>
      </w:pPr>
      <w:r w:rsidRPr="001E0F17">
        <w:rPr>
          <w:rFonts w:ascii="Tahoma" w:eastAsia="MS Mincho" w:hAnsi="Tahoma" w:cs="Tahoma"/>
          <w:sz w:val="22"/>
          <w:szCs w:val="22"/>
          <w:lang w:val="es-ES_tradnl"/>
        </w:rPr>
        <w:t>Una primera circunstancia a analizar, es la relacionada con la presunta falsedad del documento en cuestión. Para que dicha falsedad se verifique, constituye mérito suficiente la manifestación efectuada por el propio agente emisor, a través de comunicación oficial, acreditando que el documento cuestionado no ha sido expedido por éste, criterio que ha sido recogido por el Tribunal en anteriores oportunidades.</w:t>
      </w:r>
    </w:p>
    <w:p w:rsidR="00A81882" w:rsidRDefault="00A81882" w:rsidP="00A81882">
      <w:pPr>
        <w:pStyle w:val="Prrafodelista"/>
        <w:rPr>
          <w:rFonts w:ascii="Tahoma" w:hAnsi="Tahoma" w:cs="Tahoma"/>
          <w:b/>
          <w:sz w:val="22"/>
          <w:szCs w:val="22"/>
        </w:rPr>
      </w:pPr>
    </w:p>
    <w:p w:rsidR="00A81882" w:rsidRPr="004331C3" w:rsidRDefault="00A81882" w:rsidP="00A81882">
      <w:pPr>
        <w:numPr>
          <w:ilvl w:val="0"/>
          <w:numId w:val="9"/>
        </w:numPr>
        <w:tabs>
          <w:tab w:val="clear" w:pos="360"/>
        </w:tabs>
        <w:ind w:left="567" w:hanging="567"/>
        <w:jc w:val="both"/>
        <w:rPr>
          <w:rFonts w:ascii="Tahoma" w:hAnsi="Tahoma" w:cs="Tahoma"/>
          <w:b/>
          <w:sz w:val="22"/>
          <w:szCs w:val="22"/>
        </w:rPr>
      </w:pPr>
      <w:r>
        <w:rPr>
          <w:rFonts w:ascii="Tahoma" w:eastAsia="MS Mincho" w:hAnsi="Tahoma" w:cs="Tahoma"/>
          <w:sz w:val="22"/>
          <w:szCs w:val="22"/>
          <w:lang w:val="es-ES_tradnl"/>
        </w:rPr>
        <w:t>Ahora bien, obra en el presente expediente el Oficio Nº 0188-2011-GRA/GREM, en el cual la Gerencia Regional de Energía y Minas – Gobierno Regional de Arequipa, informó</w:t>
      </w:r>
      <w:r w:rsidRPr="001E0F17">
        <w:rPr>
          <w:rFonts w:ascii="Tahoma" w:eastAsia="MS Mincho" w:hAnsi="Tahoma" w:cs="Tahoma"/>
          <w:sz w:val="22"/>
          <w:szCs w:val="22"/>
          <w:lang w:val="es-ES_tradnl"/>
        </w:rPr>
        <w:t xml:space="preserve"> lo siguiente: </w:t>
      </w:r>
    </w:p>
    <w:p w:rsidR="00A81882" w:rsidRPr="004331C3" w:rsidRDefault="00A81882" w:rsidP="00A81882">
      <w:pPr>
        <w:rPr>
          <w:rFonts w:ascii="Tahoma" w:eastAsia="MS Mincho" w:hAnsi="Tahoma" w:cs="Tahoma"/>
          <w:sz w:val="22"/>
          <w:szCs w:val="22"/>
        </w:rPr>
      </w:pPr>
    </w:p>
    <w:p w:rsidR="00A81882" w:rsidRPr="003A3825" w:rsidRDefault="00A81882" w:rsidP="00A81882">
      <w:pPr>
        <w:widowControl w:val="0"/>
        <w:suppressAutoHyphens/>
        <w:ind w:left="1134" w:right="566"/>
        <w:jc w:val="both"/>
        <w:rPr>
          <w:rFonts w:ascii="Tahoma" w:eastAsia="MS Mincho" w:hAnsi="Tahoma" w:cs="Tahoma"/>
          <w:i/>
          <w:sz w:val="22"/>
          <w:szCs w:val="22"/>
          <w:lang w:val="es-ES_tradnl"/>
        </w:rPr>
      </w:pPr>
      <w:r w:rsidRPr="00A3006E">
        <w:rPr>
          <w:rFonts w:ascii="Tahoma" w:eastAsia="MS Mincho" w:hAnsi="Tahoma" w:cs="Tahoma"/>
          <w:i/>
          <w:sz w:val="18"/>
          <w:szCs w:val="18"/>
          <w:lang w:val="es-ES_tradnl"/>
        </w:rPr>
        <w:t>“Tengo a bien de dirigirme a usted, para haber de su conocimiento que la Gerencia a mi cargo confirma la emisión de las constancias de registro 0005-CCCL-04-2008, 0018-CCCL-04-2006 Y 0017-CCCL-04-2007 por modificación de producto, aspecto que no ameritaba Informe Técnico Favorable emitido por OSINERGMIN, debido a que no existía modificación física de la unidad</w:t>
      </w:r>
      <w:r>
        <w:rPr>
          <w:rFonts w:ascii="Tahoma" w:eastAsia="MS Mincho" w:hAnsi="Tahoma" w:cs="Tahoma"/>
          <w:i/>
          <w:sz w:val="18"/>
          <w:szCs w:val="18"/>
          <w:lang w:val="es-ES_tradnl"/>
        </w:rPr>
        <w:t>”</w:t>
      </w:r>
      <w:r w:rsidRPr="003A3825">
        <w:rPr>
          <w:rFonts w:ascii="Tahoma" w:eastAsia="MS Mincho" w:hAnsi="Tahoma" w:cs="Tahoma"/>
          <w:i/>
          <w:sz w:val="22"/>
          <w:szCs w:val="22"/>
          <w:lang w:val="es-ES_tradnl"/>
        </w:rPr>
        <w:t>.</w:t>
      </w:r>
    </w:p>
    <w:p w:rsidR="00A81882" w:rsidRDefault="00A81882" w:rsidP="00A81882">
      <w:pPr>
        <w:widowControl w:val="0"/>
        <w:suppressAutoHyphens/>
        <w:ind w:left="1134" w:right="566"/>
        <w:jc w:val="both"/>
        <w:rPr>
          <w:rFonts w:ascii="Tahoma" w:eastAsia="MS Mincho" w:hAnsi="Tahoma" w:cs="Tahoma"/>
          <w:i/>
          <w:sz w:val="22"/>
          <w:szCs w:val="22"/>
          <w:lang w:val="es-ES_tradnl"/>
        </w:rPr>
      </w:pPr>
    </w:p>
    <w:p w:rsidR="00A81882" w:rsidRPr="00BD6CB5" w:rsidRDefault="00A81882" w:rsidP="00A81882">
      <w:pPr>
        <w:numPr>
          <w:ilvl w:val="0"/>
          <w:numId w:val="9"/>
        </w:numPr>
        <w:tabs>
          <w:tab w:val="clear" w:pos="360"/>
        </w:tabs>
        <w:ind w:left="567" w:hanging="567"/>
        <w:jc w:val="both"/>
        <w:rPr>
          <w:rFonts w:ascii="Tahoma" w:hAnsi="Tahoma" w:cs="Tahoma"/>
          <w:b/>
          <w:sz w:val="22"/>
          <w:szCs w:val="22"/>
        </w:rPr>
      </w:pPr>
      <w:r w:rsidRPr="004331C3">
        <w:rPr>
          <w:rFonts w:ascii="Tahoma" w:eastAsia="MS Mincho" w:hAnsi="Tahoma" w:cs="Tahoma"/>
          <w:sz w:val="22"/>
          <w:szCs w:val="22"/>
          <w:lang w:val="es-ES_tradnl"/>
        </w:rPr>
        <w:t>En tal sentido, respecto a la primera circunstancia, referida a la presunta falsedad de</w:t>
      </w:r>
      <w:r>
        <w:rPr>
          <w:rFonts w:ascii="Tahoma" w:eastAsia="MS Mincho" w:hAnsi="Tahoma" w:cs="Tahoma"/>
          <w:sz w:val="22"/>
          <w:szCs w:val="22"/>
          <w:lang w:val="es-ES_tradnl"/>
        </w:rPr>
        <w:t xml:space="preserve"> </w:t>
      </w:r>
      <w:r w:rsidRPr="004331C3">
        <w:rPr>
          <w:rFonts w:ascii="Tahoma" w:eastAsia="MS Mincho" w:hAnsi="Tahoma" w:cs="Tahoma"/>
          <w:sz w:val="22"/>
          <w:szCs w:val="22"/>
          <w:lang w:val="es-ES_tradnl"/>
        </w:rPr>
        <w:t>l</w:t>
      </w:r>
      <w:r>
        <w:rPr>
          <w:rFonts w:ascii="Tahoma" w:eastAsia="MS Mincho" w:hAnsi="Tahoma" w:cs="Tahoma"/>
          <w:sz w:val="22"/>
          <w:szCs w:val="22"/>
          <w:lang w:val="es-ES_tradnl"/>
        </w:rPr>
        <w:t>os</w:t>
      </w:r>
      <w:r w:rsidRPr="004331C3">
        <w:rPr>
          <w:rFonts w:ascii="Tahoma" w:eastAsia="MS Mincho" w:hAnsi="Tahoma" w:cs="Tahoma"/>
          <w:sz w:val="22"/>
          <w:szCs w:val="22"/>
          <w:lang w:val="es-ES_tradnl"/>
        </w:rPr>
        <w:t xml:space="preserve"> documento</w:t>
      </w:r>
      <w:r>
        <w:rPr>
          <w:rFonts w:ascii="Tahoma" w:eastAsia="MS Mincho" w:hAnsi="Tahoma" w:cs="Tahoma"/>
          <w:sz w:val="22"/>
          <w:szCs w:val="22"/>
          <w:lang w:val="es-ES_tradnl"/>
        </w:rPr>
        <w:t>s</w:t>
      </w:r>
      <w:r w:rsidRPr="004331C3">
        <w:rPr>
          <w:rFonts w:ascii="Tahoma" w:eastAsia="MS Mincho" w:hAnsi="Tahoma" w:cs="Tahoma"/>
          <w:sz w:val="22"/>
          <w:szCs w:val="22"/>
          <w:lang w:val="es-ES_tradnl"/>
        </w:rPr>
        <w:t xml:space="preserve"> cuestionado</w:t>
      </w:r>
      <w:r>
        <w:rPr>
          <w:rFonts w:ascii="Tahoma" w:eastAsia="MS Mincho" w:hAnsi="Tahoma" w:cs="Tahoma"/>
          <w:sz w:val="22"/>
          <w:szCs w:val="22"/>
          <w:lang w:val="es-ES_tradnl"/>
        </w:rPr>
        <w:t>s</w:t>
      </w:r>
      <w:r w:rsidRPr="004331C3">
        <w:rPr>
          <w:rFonts w:ascii="Tahoma" w:eastAsia="MS Mincho" w:hAnsi="Tahoma" w:cs="Tahoma"/>
          <w:sz w:val="22"/>
          <w:szCs w:val="22"/>
          <w:lang w:val="es-ES_tradnl"/>
        </w:rPr>
        <w:t xml:space="preserve">, cabe amparar lo señalado por la Denunciada en su escrito de descargos, toda vez que, tal como se puede advertir del Oficio Nº 0188-2011-GRA/GREM, existe un reconocimiento expreso de la expedición del documento cuestionado, por parte del emisor, es decir la Gerencia Regional de Energía y Minas – Gobierno Regional de Arequipa, al señalar “haber emitido las </w:t>
      </w:r>
      <w:r>
        <w:rPr>
          <w:rFonts w:ascii="Tahoma" w:eastAsia="MS Mincho" w:hAnsi="Tahoma" w:cs="Tahoma"/>
          <w:sz w:val="22"/>
          <w:szCs w:val="22"/>
          <w:lang w:val="es-ES_tradnl"/>
        </w:rPr>
        <w:t>Constancias de R</w:t>
      </w:r>
      <w:r w:rsidRPr="004331C3">
        <w:rPr>
          <w:rFonts w:ascii="Tahoma" w:eastAsia="MS Mincho" w:hAnsi="Tahoma" w:cs="Tahoma"/>
          <w:sz w:val="22"/>
          <w:szCs w:val="22"/>
          <w:lang w:val="es-ES_tradnl"/>
        </w:rPr>
        <w:t xml:space="preserve">egistro </w:t>
      </w:r>
      <w:r>
        <w:rPr>
          <w:rFonts w:ascii="Tahoma" w:eastAsia="MS Mincho" w:hAnsi="Tahoma" w:cs="Tahoma"/>
          <w:sz w:val="22"/>
          <w:szCs w:val="22"/>
          <w:lang w:val="es-ES_tradnl"/>
        </w:rPr>
        <w:t xml:space="preserve">Nº </w:t>
      </w:r>
      <w:r w:rsidRPr="004331C3">
        <w:rPr>
          <w:rFonts w:ascii="Tahoma" w:eastAsia="MS Mincho" w:hAnsi="Tahoma" w:cs="Tahoma"/>
          <w:sz w:val="22"/>
          <w:szCs w:val="22"/>
          <w:lang w:val="es-ES_tradnl"/>
        </w:rPr>
        <w:t xml:space="preserve">0005-CCCL-04-2008, </w:t>
      </w:r>
      <w:r>
        <w:rPr>
          <w:rFonts w:ascii="Tahoma" w:eastAsia="MS Mincho" w:hAnsi="Tahoma" w:cs="Tahoma"/>
          <w:sz w:val="22"/>
          <w:szCs w:val="22"/>
          <w:lang w:val="es-ES_tradnl"/>
        </w:rPr>
        <w:t>Nº 0018-CCCL-04-2006 y</w:t>
      </w:r>
      <w:r w:rsidRPr="004331C3">
        <w:rPr>
          <w:rFonts w:ascii="Tahoma" w:eastAsia="MS Mincho" w:hAnsi="Tahoma" w:cs="Tahoma"/>
          <w:sz w:val="22"/>
          <w:szCs w:val="22"/>
          <w:lang w:val="es-ES_tradnl"/>
        </w:rPr>
        <w:t xml:space="preserve"> </w:t>
      </w:r>
      <w:r>
        <w:rPr>
          <w:rFonts w:ascii="Tahoma" w:eastAsia="MS Mincho" w:hAnsi="Tahoma" w:cs="Tahoma"/>
          <w:sz w:val="22"/>
          <w:szCs w:val="22"/>
          <w:lang w:val="es-ES_tradnl"/>
        </w:rPr>
        <w:t xml:space="preserve">Nº </w:t>
      </w:r>
      <w:r w:rsidRPr="004331C3">
        <w:rPr>
          <w:rFonts w:ascii="Tahoma" w:eastAsia="MS Mincho" w:hAnsi="Tahoma" w:cs="Tahoma"/>
          <w:sz w:val="22"/>
          <w:szCs w:val="22"/>
          <w:lang w:val="es-ES_tradnl"/>
        </w:rPr>
        <w:t>0017-CCCL-04-2007; por lo que los documentos en cuestión no constituye un documento falso.</w:t>
      </w:r>
    </w:p>
    <w:p w:rsidR="00A81882" w:rsidRPr="00BD6CB5" w:rsidRDefault="00A81882" w:rsidP="00A81882">
      <w:pPr>
        <w:ind w:left="567"/>
        <w:jc w:val="both"/>
        <w:rPr>
          <w:rFonts w:ascii="Tahoma" w:hAnsi="Tahoma" w:cs="Tahoma"/>
          <w:b/>
          <w:sz w:val="22"/>
          <w:szCs w:val="22"/>
        </w:rPr>
      </w:pPr>
    </w:p>
    <w:p w:rsidR="00A81882" w:rsidRDefault="00A81882" w:rsidP="00A81882">
      <w:pPr>
        <w:numPr>
          <w:ilvl w:val="0"/>
          <w:numId w:val="9"/>
        </w:numPr>
        <w:tabs>
          <w:tab w:val="clear" w:pos="360"/>
        </w:tabs>
        <w:ind w:left="567" w:hanging="567"/>
        <w:jc w:val="both"/>
        <w:rPr>
          <w:rFonts w:ascii="Tahoma" w:eastAsia="MS Mincho" w:hAnsi="Tahoma" w:cs="Tahoma"/>
          <w:sz w:val="22"/>
          <w:szCs w:val="22"/>
          <w:lang w:val="es-ES_tradnl"/>
        </w:rPr>
      </w:pPr>
      <w:r w:rsidRPr="00F447EC">
        <w:rPr>
          <w:rFonts w:ascii="Tahoma" w:eastAsia="MS Mincho" w:hAnsi="Tahoma" w:cs="Tahoma"/>
          <w:sz w:val="22"/>
          <w:szCs w:val="22"/>
          <w:lang w:val="es-ES_tradnl"/>
        </w:rPr>
        <w:t xml:space="preserve">Ahora bien, </w:t>
      </w:r>
      <w:r>
        <w:rPr>
          <w:rFonts w:ascii="Tahoma" w:eastAsia="MS Mincho" w:hAnsi="Tahoma" w:cs="Tahoma"/>
          <w:sz w:val="22"/>
          <w:szCs w:val="22"/>
          <w:lang w:val="es-ES_tradnl"/>
        </w:rPr>
        <w:t>respecto al análisis de la segunda</w:t>
      </w:r>
      <w:r w:rsidRPr="004331C3">
        <w:rPr>
          <w:rFonts w:ascii="Tahoma" w:eastAsia="MS Mincho" w:hAnsi="Tahoma" w:cs="Tahoma"/>
          <w:sz w:val="22"/>
          <w:szCs w:val="22"/>
          <w:lang w:val="es-ES_tradnl"/>
        </w:rPr>
        <w:t xml:space="preserve"> circunstancia, referida a la presunta </w:t>
      </w:r>
      <w:r>
        <w:rPr>
          <w:rFonts w:ascii="Tahoma" w:eastAsia="MS Mincho" w:hAnsi="Tahoma" w:cs="Tahoma"/>
          <w:sz w:val="22"/>
          <w:szCs w:val="22"/>
          <w:lang w:val="es-ES_tradnl"/>
        </w:rPr>
        <w:t>inexactitud</w:t>
      </w:r>
      <w:r w:rsidRPr="004331C3">
        <w:rPr>
          <w:rFonts w:ascii="Tahoma" w:eastAsia="MS Mincho" w:hAnsi="Tahoma" w:cs="Tahoma"/>
          <w:sz w:val="22"/>
          <w:szCs w:val="22"/>
          <w:lang w:val="es-ES_tradnl"/>
        </w:rPr>
        <w:t xml:space="preserve"> de</w:t>
      </w:r>
      <w:r>
        <w:rPr>
          <w:rFonts w:ascii="Tahoma" w:eastAsia="MS Mincho" w:hAnsi="Tahoma" w:cs="Tahoma"/>
          <w:sz w:val="22"/>
          <w:szCs w:val="22"/>
          <w:lang w:val="es-ES_tradnl"/>
        </w:rPr>
        <w:t xml:space="preserve"> </w:t>
      </w:r>
      <w:r w:rsidRPr="004331C3">
        <w:rPr>
          <w:rFonts w:ascii="Tahoma" w:eastAsia="MS Mincho" w:hAnsi="Tahoma" w:cs="Tahoma"/>
          <w:sz w:val="22"/>
          <w:szCs w:val="22"/>
          <w:lang w:val="es-ES_tradnl"/>
        </w:rPr>
        <w:t>l</w:t>
      </w:r>
      <w:r>
        <w:rPr>
          <w:rFonts w:ascii="Tahoma" w:eastAsia="MS Mincho" w:hAnsi="Tahoma" w:cs="Tahoma"/>
          <w:sz w:val="22"/>
          <w:szCs w:val="22"/>
          <w:lang w:val="es-ES_tradnl"/>
        </w:rPr>
        <w:t>os</w:t>
      </w:r>
      <w:r w:rsidRPr="004331C3">
        <w:rPr>
          <w:rFonts w:ascii="Tahoma" w:eastAsia="MS Mincho" w:hAnsi="Tahoma" w:cs="Tahoma"/>
          <w:sz w:val="22"/>
          <w:szCs w:val="22"/>
          <w:lang w:val="es-ES_tradnl"/>
        </w:rPr>
        <w:t xml:space="preserve"> documento</w:t>
      </w:r>
      <w:r>
        <w:rPr>
          <w:rFonts w:ascii="Tahoma" w:eastAsia="MS Mincho" w:hAnsi="Tahoma" w:cs="Tahoma"/>
          <w:sz w:val="22"/>
          <w:szCs w:val="22"/>
          <w:lang w:val="es-ES_tradnl"/>
        </w:rPr>
        <w:t>s</w:t>
      </w:r>
      <w:r w:rsidRPr="004331C3">
        <w:rPr>
          <w:rFonts w:ascii="Tahoma" w:eastAsia="MS Mincho" w:hAnsi="Tahoma" w:cs="Tahoma"/>
          <w:sz w:val="22"/>
          <w:szCs w:val="22"/>
          <w:lang w:val="es-ES_tradnl"/>
        </w:rPr>
        <w:t xml:space="preserve"> cuestionado</w:t>
      </w:r>
      <w:r>
        <w:rPr>
          <w:rFonts w:ascii="Tahoma" w:eastAsia="MS Mincho" w:hAnsi="Tahoma" w:cs="Tahoma"/>
          <w:sz w:val="22"/>
          <w:szCs w:val="22"/>
          <w:lang w:val="es-ES_tradnl"/>
        </w:rPr>
        <w:t>s,</w:t>
      </w:r>
      <w:r w:rsidRPr="00F447EC">
        <w:rPr>
          <w:rFonts w:ascii="Tahoma" w:eastAsia="MS Mincho" w:hAnsi="Tahoma" w:cs="Tahoma"/>
          <w:sz w:val="22"/>
          <w:szCs w:val="22"/>
          <w:lang w:val="es-ES_tradnl"/>
        </w:rPr>
        <w:t xml:space="preserve"> a través de</w:t>
      </w:r>
      <w:r>
        <w:rPr>
          <w:rFonts w:ascii="Tahoma" w:eastAsia="MS Mincho" w:hAnsi="Tahoma" w:cs="Tahoma"/>
          <w:sz w:val="22"/>
          <w:szCs w:val="22"/>
          <w:lang w:val="es-ES_tradnl"/>
        </w:rPr>
        <w:t>l cual la Denunciada acreditaba</w:t>
      </w:r>
      <w:r w:rsidRPr="00F447EC">
        <w:rPr>
          <w:rFonts w:ascii="Tahoma" w:eastAsia="MS Mincho" w:hAnsi="Tahoma" w:cs="Tahoma"/>
          <w:sz w:val="22"/>
          <w:szCs w:val="22"/>
          <w:lang w:val="es-ES_tradnl"/>
        </w:rPr>
        <w:t xml:space="preserve"> que lo vehículos que realizarían el servicio objeto materia de convocatoria, estaban autorizadas para transportar el combustible Turbo Jet A-1</w:t>
      </w:r>
      <w:r>
        <w:rPr>
          <w:rFonts w:ascii="Tahoma" w:eastAsia="MS Mincho" w:hAnsi="Tahoma" w:cs="Tahoma"/>
          <w:sz w:val="22"/>
          <w:szCs w:val="22"/>
          <w:lang w:val="es-ES_tradnl"/>
        </w:rPr>
        <w:t>.</w:t>
      </w:r>
    </w:p>
    <w:p w:rsidR="00A81882" w:rsidRDefault="00A81882" w:rsidP="00A81882">
      <w:pPr>
        <w:pStyle w:val="Prrafodelista"/>
        <w:rPr>
          <w:rFonts w:ascii="Tahoma" w:eastAsia="MS Mincho" w:hAnsi="Tahoma" w:cs="Tahoma"/>
          <w:sz w:val="22"/>
          <w:szCs w:val="22"/>
        </w:rPr>
      </w:pPr>
    </w:p>
    <w:p w:rsidR="00A81882" w:rsidRPr="00C84C6C" w:rsidRDefault="00A81882" w:rsidP="00A81882">
      <w:pPr>
        <w:numPr>
          <w:ilvl w:val="0"/>
          <w:numId w:val="9"/>
        </w:numPr>
        <w:tabs>
          <w:tab w:val="clear" w:pos="360"/>
        </w:tabs>
        <w:ind w:left="567" w:hanging="567"/>
        <w:jc w:val="both"/>
        <w:rPr>
          <w:rFonts w:ascii="Tahoma" w:eastAsia="MS Mincho" w:hAnsi="Tahoma" w:cs="Tahoma"/>
          <w:sz w:val="22"/>
          <w:szCs w:val="22"/>
          <w:lang w:val="es-ES_tradnl"/>
        </w:rPr>
      </w:pPr>
      <w:r w:rsidRPr="002F002D">
        <w:rPr>
          <w:rFonts w:ascii="Tahoma" w:eastAsia="MS Mincho" w:hAnsi="Tahoma" w:cs="Tahoma"/>
          <w:sz w:val="22"/>
          <w:szCs w:val="22"/>
          <w:lang w:val="es-ES_tradnl"/>
        </w:rPr>
        <w:t>En ese sentido, mediante</w:t>
      </w:r>
      <w:r>
        <w:rPr>
          <w:rFonts w:ascii="Tahoma" w:eastAsia="MS Mincho" w:hAnsi="Tahoma" w:cs="Tahoma"/>
          <w:sz w:val="22"/>
          <w:szCs w:val="22"/>
          <w:lang w:val="es-ES_tradnl"/>
        </w:rPr>
        <w:t xml:space="preserve"> el acotado</w:t>
      </w:r>
      <w:r w:rsidRPr="002F002D">
        <w:rPr>
          <w:rFonts w:ascii="Tahoma" w:eastAsia="MS Mincho" w:hAnsi="Tahoma" w:cs="Tahoma"/>
          <w:sz w:val="22"/>
          <w:szCs w:val="22"/>
          <w:lang w:val="es-ES_tradnl"/>
        </w:rPr>
        <w:t xml:space="preserve"> </w:t>
      </w:r>
      <w:r w:rsidRPr="004331C3">
        <w:rPr>
          <w:rFonts w:ascii="Tahoma" w:eastAsia="MS Mincho" w:hAnsi="Tahoma" w:cs="Tahoma"/>
          <w:sz w:val="22"/>
          <w:szCs w:val="22"/>
          <w:lang w:val="es-ES_tradnl"/>
        </w:rPr>
        <w:t>Oficio Nº 0188-2011-GRA/GREM</w:t>
      </w:r>
      <w:r w:rsidRPr="002F002D">
        <w:rPr>
          <w:rFonts w:ascii="Tahoma" w:eastAsia="MS Mincho" w:hAnsi="Tahoma" w:cs="Tahoma"/>
          <w:sz w:val="22"/>
          <w:szCs w:val="22"/>
          <w:lang w:val="es-ES_tradnl"/>
        </w:rPr>
        <w:t xml:space="preserve">, </w:t>
      </w:r>
      <w:r w:rsidRPr="004331C3">
        <w:rPr>
          <w:rFonts w:ascii="Tahoma" w:eastAsia="MS Mincho" w:hAnsi="Tahoma" w:cs="Tahoma"/>
          <w:sz w:val="22"/>
          <w:szCs w:val="22"/>
          <w:lang w:val="es-ES_tradnl"/>
        </w:rPr>
        <w:t>la Gerencia Regional de Energía y Minas – Gobierno Regional de Arequipa</w:t>
      </w:r>
      <w:r>
        <w:rPr>
          <w:rFonts w:ascii="Tahoma" w:eastAsia="MS Mincho" w:hAnsi="Tahoma" w:cs="Tahoma"/>
          <w:sz w:val="22"/>
          <w:szCs w:val="22"/>
          <w:lang w:val="es-ES_tradnl"/>
        </w:rPr>
        <w:t xml:space="preserve">, también </w:t>
      </w:r>
      <w:r>
        <w:rPr>
          <w:rFonts w:ascii="Tahoma" w:eastAsia="MS Mincho" w:hAnsi="Tahoma" w:cs="Tahoma"/>
          <w:sz w:val="22"/>
          <w:szCs w:val="22"/>
          <w:lang w:val="es-ES_tradnl"/>
        </w:rPr>
        <w:lastRenderedPageBreak/>
        <w:t xml:space="preserve">ha informado a este Tribunal con fecha 16 de abril del 2010 que se </w:t>
      </w:r>
      <w:r w:rsidRPr="00C84C6C">
        <w:rPr>
          <w:rFonts w:ascii="Tahoma" w:eastAsia="MS Mincho" w:hAnsi="Tahoma" w:cs="Tahoma"/>
          <w:b/>
          <w:sz w:val="22"/>
          <w:szCs w:val="22"/>
          <w:lang w:val="es-ES_tradnl"/>
        </w:rPr>
        <w:t>“procedió a anular las constancias cuestionadas debido que la Dirección General de Hidrocarburos considero que el cambio de producto a combustible de aviación ameritaba Informe Técnico Favorable emitido por OSINERGMIN”</w:t>
      </w:r>
      <w:r w:rsidRPr="002F002D">
        <w:rPr>
          <w:rFonts w:ascii="Tahoma" w:eastAsia="MS Mincho" w:hAnsi="Tahoma" w:cs="Tahoma"/>
          <w:b/>
          <w:sz w:val="22"/>
          <w:szCs w:val="22"/>
          <w:lang w:val="es-ES_tradnl"/>
        </w:rPr>
        <w:t>. (sic)”.</w:t>
      </w:r>
    </w:p>
    <w:p w:rsidR="00A81882" w:rsidRDefault="00A81882" w:rsidP="00A81882">
      <w:pPr>
        <w:pStyle w:val="Prrafodelista"/>
        <w:rPr>
          <w:rFonts w:ascii="Tahoma" w:eastAsia="MS Mincho" w:hAnsi="Tahoma" w:cs="Tahoma"/>
          <w:sz w:val="22"/>
          <w:szCs w:val="22"/>
        </w:rPr>
      </w:pPr>
    </w:p>
    <w:p w:rsidR="00A81882" w:rsidRDefault="00A81882" w:rsidP="00A81882">
      <w:pPr>
        <w:numPr>
          <w:ilvl w:val="0"/>
          <w:numId w:val="9"/>
        </w:numPr>
        <w:tabs>
          <w:tab w:val="clear" w:pos="360"/>
        </w:tabs>
        <w:ind w:left="567" w:hanging="567"/>
        <w:jc w:val="both"/>
        <w:rPr>
          <w:rFonts w:ascii="Tahoma" w:eastAsia="MS Mincho" w:hAnsi="Tahoma" w:cs="Tahoma"/>
          <w:sz w:val="22"/>
          <w:szCs w:val="22"/>
          <w:lang w:val="es-ES_tradnl"/>
        </w:rPr>
      </w:pPr>
      <w:r w:rsidRPr="00C84C6C">
        <w:rPr>
          <w:rFonts w:ascii="Tahoma" w:eastAsia="MS Mincho" w:hAnsi="Tahoma" w:cs="Tahoma"/>
          <w:sz w:val="22"/>
          <w:szCs w:val="22"/>
          <w:lang w:val="es-ES_tradnl"/>
        </w:rPr>
        <w:t>Resulta pertinente observar que el objeto materia</w:t>
      </w:r>
      <w:r>
        <w:rPr>
          <w:rFonts w:ascii="Tahoma" w:eastAsia="MS Mincho" w:hAnsi="Tahoma" w:cs="Tahoma"/>
          <w:sz w:val="22"/>
          <w:szCs w:val="22"/>
          <w:lang w:val="es-ES_tradnl"/>
        </w:rPr>
        <w:t xml:space="preserve"> del proceso de selección era</w:t>
      </w:r>
      <w:r w:rsidRPr="00C84C6C">
        <w:rPr>
          <w:rFonts w:ascii="Tahoma" w:eastAsia="MS Mincho" w:hAnsi="Tahoma" w:cs="Tahoma"/>
          <w:sz w:val="22"/>
          <w:szCs w:val="22"/>
          <w:lang w:val="es-ES_tradnl"/>
        </w:rPr>
        <w:t xml:space="preserve"> </w:t>
      </w:r>
      <w:r>
        <w:rPr>
          <w:rFonts w:ascii="Tahoma" w:eastAsia="MS Mincho" w:hAnsi="Tahoma" w:cs="Tahoma"/>
          <w:sz w:val="22"/>
          <w:szCs w:val="22"/>
          <w:lang w:val="es-ES_tradnl"/>
        </w:rPr>
        <w:t>el servicio de transporte terrestre en camiones tanque de Turbo A-1, para el Terminal Mollendo a Planta Aeropuerto de 2’280,000 galones y Terminal Mollendo a Planta Aeropuerto Tacna de 480,000 galones</w:t>
      </w:r>
      <w:r w:rsidRPr="00C84C6C">
        <w:rPr>
          <w:rFonts w:ascii="Tahoma" w:eastAsia="MS Mincho" w:hAnsi="Tahoma" w:cs="Tahoma"/>
          <w:sz w:val="22"/>
          <w:szCs w:val="22"/>
          <w:lang w:val="es-ES_tradnl"/>
        </w:rPr>
        <w:t xml:space="preserve">. De igual forma, se advierte que </w:t>
      </w:r>
      <w:r>
        <w:rPr>
          <w:rFonts w:ascii="Tahoma" w:eastAsia="MS Mincho" w:hAnsi="Tahoma" w:cs="Tahoma"/>
          <w:sz w:val="22"/>
          <w:szCs w:val="22"/>
          <w:lang w:val="es-ES_tradnl"/>
        </w:rPr>
        <w:t>en el punto 13 de las Bases del proceso de Competencia Menor Nº 31-2010/OFP/PETROPERU</w:t>
      </w:r>
      <w:r w:rsidRPr="00C84C6C">
        <w:rPr>
          <w:rFonts w:ascii="Tahoma" w:eastAsia="MS Mincho" w:hAnsi="Tahoma" w:cs="Tahoma"/>
          <w:sz w:val="22"/>
          <w:szCs w:val="22"/>
          <w:lang w:val="es-ES_tradnl"/>
        </w:rPr>
        <w:t xml:space="preserve"> en el literal f) del numeral 12) referido a los </w:t>
      </w:r>
      <w:r>
        <w:rPr>
          <w:rFonts w:ascii="Tahoma" w:eastAsia="MS Mincho" w:hAnsi="Tahoma" w:cs="Tahoma"/>
          <w:sz w:val="22"/>
          <w:szCs w:val="22"/>
          <w:lang w:val="es-ES_tradnl"/>
        </w:rPr>
        <w:t xml:space="preserve">requerimientos técnicos mínimos, </w:t>
      </w:r>
      <w:r w:rsidRPr="00C84C6C">
        <w:rPr>
          <w:rFonts w:ascii="Tahoma" w:eastAsia="MS Mincho" w:hAnsi="Tahoma" w:cs="Tahoma"/>
          <w:sz w:val="22"/>
          <w:szCs w:val="22"/>
          <w:lang w:val="es-ES_tradnl"/>
        </w:rPr>
        <w:t>se requirió la presentación obligatoria de</w:t>
      </w:r>
      <w:r>
        <w:rPr>
          <w:rFonts w:ascii="Tahoma" w:eastAsia="MS Mincho" w:hAnsi="Tahoma" w:cs="Tahoma"/>
          <w:sz w:val="22"/>
          <w:szCs w:val="22"/>
          <w:lang w:val="es-ES_tradnl"/>
        </w:rPr>
        <w:t xml:space="preserve"> la copia del Registro DGH de los Remolcadores y Cisternas ofertados, vigente a la fecha de presentación de propuestas</w:t>
      </w:r>
      <w:r w:rsidRPr="00C84C6C">
        <w:rPr>
          <w:rFonts w:ascii="Tahoma" w:eastAsia="MS Mincho" w:hAnsi="Tahoma" w:cs="Tahoma"/>
          <w:sz w:val="22"/>
          <w:szCs w:val="22"/>
          <w:lang w:val="es-ES_tradnl"/>
        </w:rPr>
        <w:t>.</w:t>
      </w:r>
    </w:p>
    <w:p w:rsidR="00A81882" w:rsidRDefault="00A81882" w:rsidP="00A81882">
      <w:pPr>
        <w:pStyle w:val="Prrafodelista"/>
        <w:rPr>
          <w:rFonts w:ascii="Tahoma" w:eastAsia="MS Mincho" w:hAnsi="Tahoma" w:cs="Tahoma"/>
          <w:sz w:val="22"/>
          <w:szCs w:val="22"/>
        </w:rPr>
      </w:pPr>
    </w:p>
    <w:p w:rsidR="00A81882" w:rsidRDefault="00A81882" w:rsidP="00A81882">
      <w:pPr>
        <w:numPr>
          <w:ilvl w:val="0"/>
          <w:numId w:val="9"/>
        </w:numPr>
        <w:tabs>
          <w:tab w:val="clear" w:pos="360"/>
        </w:tabs>
        <w:ind w:left="567" w:hanging="567"/>
        <w:jc w:val="both"/>
        <w:rPr>
          <w:rFonts w:ascii="Tahoma" w:eastAsia="MS Mincho" w:hAnsi="Tahoma" w:cs="Tahoma"/>
          <w:sz w:val="22"/>
          <w:szCs w:val="22"/>
          <w:lang w:val="es-ES_tradnl"/>
        </w:rPr>
      </w:pPr>
      <w:r w:rsidRPr="00DE158F">
        <w:rPr>
          <w:rFonts w:ascii="Tahoma" w:eastAsia="MS Mincho" w:hAnsi="Tahoma" w:cs="Tahoma"/>
          <w:snapToGrid w:val="0"/>
          <w:color w:val="000000"/>
          <w:sz w:val="22"/>
          <w:szCs w:val="22"/>
          <w:lang w:val="es-ES_tradnl"/>
        </w:rPr>
        <w:t>En esa línea de análisis tenemos que, la Denunciada a fin de acreditar el cumplimiento del referido requerimiento técnico mínimo, exigido por las Bases, adjuntó a su propuesta técnica los documentos denominados “</w:t>
      </w:r>
      <w:r w:rsidRPr="00DE158F">
        <w:rPr>
          <w:rFonts w:ascii="Tahoma" w:eastAsia="MS Mincho" w:hAnsi="Tahoma" w:cs="Tahoma"/>
          <w:sz w:val="22"/>
          <w:szCs w:val="22"/>
          <w:lang w:val="es-ES_tradnl"/>
        </w:rPr>
        <w:t>Constancias de Registro Nº 0005-CCCL-04-2008, Nº 0018-CCCL-04-2006 y Nº 0017-CCCL-04-2007”, expedi</w:t>
      </w:r>
      <w:r>
        <w:rPr>
          <w:rFonts w:ascii="Tahoma" w:eastAsia="MS Mincho" w:hAnsi="Tahoma" w:cs="Tahoma"/>
          <w:sz w:val="22"/>
          <w:szCs w:val="22"/>
          <w:lang w:val="es-ES_tradnl"/>
        </w:rPr>
        <w:t>da</w:t>
      </w:r>
      <w:r w:rsidRPr="00DE158F">
        <w:rPr>
          <w:rFonts w:ascii="Tahoma" w:eastAsia="MS Mincho" w:hAnsi="Tahoma" w:cs="Tahoma"/>
          <w:sz w:val="22"/>
          <w:szCs w:val="22"/>
          <w:lang w:val="es-ES_tradnl"/>
        </w:rPr>
        <w:t xml:space="preserve">s por </w:t>
      </w:r>
      <w:r w:rsidRPr="004331C3">
        <w:rPr>
          <w:rFonts w:ascii="Tahoma" w:eastAsia="MS Mincho" w:hAnsi="Tahoma" w:cs="Tahoma"/>
          <w:sz w:val="22"/>
          <w:szCs w:val="22"/>
          <w:lang w:val="es-ES_tradnl"/>
        </w:rPr>
        <w:t>la Gerencia Regional de Energía y Minas – Gobierno Regional de Arequipa</w:t>
      </w:r>
      <w:r>
        <w:rPr>
          <w:rFonts w:ascii="Tahoma" w:eastAsia="MS Mincho" w:hAnsi="Tahoma" w:cs="Tahoma"/>
          <w:sz w:val="22"/>
          <w:szCs w:val="22"/>
          <w:lang w:val="es-ES_tradnl"/>
        </w:rPr>
        <w:t>.</w:t>
      </w:r>
    </w:p>
    <w:p w:rsidR="00A81882" w:rsidRDefault="00A81882" w:rsidP="00A81882">
      <w:pPr>
        <w:pStyle w:val="Prrafodelista"/>
        <w:rPr>
          <w:rFonts w:ascii="Tahoma" w:eastAsia="MS Mincho" w:hAnsi="Tahoma" w:cs="Tahoma"/>
          <w:sz w:val="22"/>
          <w:szCs w:val="22"/>
        </w:rPr>
      </w:pPr>
    </w:p>
    <w:p w:rsidR="00A81882" w:rsidRDefault="00A81882" w:rsidP="00A81882">
      <w:pPr>
        <w:numPr>
          <w:ilvl w:val="0"/>
          <w:numId w:val="9"/>
        </w:numPr>
        <w:tabs>
          <w:tab w:val="clear" w:pos="360"/>
        </w:tabs>
        <w:ind w:left="567" w:hanging="567"/>
        <w:jc w:val="both"/>
        <w:rPr>
          <w:rFonts w:ascii="Tahoma" w:eastAsia="MS Mincho" w:hAnsi="Tahoma" w:cs="Tahoma"/>
          <w:sz w:val="22"/>
          <w:szCs w:val="22"/>
          <w:lang w:val="es-ES_tradnl"/>
        </w:rPr>
      </w:pPr>
      <w:r>
        <w:rPr>
          <w:rFonts w:ascii="Tahoma" w:eastAsia="MS Mincho" w:hAnsi="Tahoma" w:cs="Tahoma"/>
          <w:sz w:val="22"/>
          <w:szCs w:val="22"/>
          <w:lang w:val="es-ES_tradnl"/>
        </w:rPr>
        <w:t xml:space="preserve">Ahora bien, de lo señalado anteriormente, cabe precisar que los documentos cuestionados fueron anulados el 16 de abril del 2010, es decir posteriormente a la fecha en la cual se realizó el acto de presentación de propuestas, toda vez que de la revisión del </w:t>
      </w:r>
      <w:r w:rsidRPr="00DE158F">
        <w:rPr>
          <w:rFonts w:ascii="Tahoma" w:eastAsia="MS Mincho" w:hAnsi="Tahoma" w:cs="Tahoma"/>
          <w:sz w:val="22"/>
          <w:szCs w:val="22"/>
          <w:lang w:val="es-ES_tradnl"/>
        </w:rPr>
        <w:t xml:space="preserve">calendario del proceso publicado en el SEACE, se </w:t>
      </w:r>
      <w:r>
        <w:rPr>
          <w:rFonts w:ascii="Tahoma" w:eastAsia="MS Mincho" w:hAnsi="Tahoma" w:cs="Tahoma"/>
          <w:sz w:val="22"/>
          <w:szCs w:val="22"/>
          <w:lang w:val="es-ES_tradnl"/>
        </w:rPr>
        <w:t>evidencia que dicho acto tuvo lugar el día 15 de abril del 2010.</w:t>
      </w:r>
    </w:p>
    <w:p w:rsidR="00A81882" w:rsidRDefault="00A81882" w:rsidP="00A81882">
      <w:pPr>
        <w:pStyle w:val="Prrafodelista"/>
        <w:rPr>
          <w:rFonts w:ascii="Tahoma" w:eastAsia="MS Mincho" w:hAnsi="Tahoma" w:cs="Tahoma"/>
          <w:sz w:val="22"/>
          <w:szCs w:val="22"/>
        </w:rPr>
      </w:pPr>
    </w:p>
    <w:p w:rsidR="00A81882" w:rsidRPr="00EE55BD" w:rsidRDefault="00A81882" w:rsidP="00A81882">
      <w:pPr>
        <w:numPr>
          <w:ilvl w:val="0"/>
          <w:numId w:val="9"/>
        </w:numPr>
        <w:tabs>
          <w:tab w:val="clear" w:pos="360"/>
        </w:tabs>
        <w:ind w:left="567" w:hanging="567"/>
        <w:jc w:val="both"/>
        <w:rPr>
          <w:rFonts w:ascii="Tahoma" w:eastAsia="MS Mincho" w:hAnsi="Tahoma" w:cs="Tahoma"/>
          <w:sz w:val="22"/>
          <w:szCs w:val="22"/>
          <w:lang w:val="es-ES_tradnl"/>
        </w:rPr>
      </w:pPr>
      <w:r>
        <w:rPr>
          <w:rFonts w:ascii="Tahoma" w:eastAsia="MS Mincho" w:hAnsi="Tahoma" w:cs="Tahoma"/>
          <w:sz w:val="22"/>
          <w:szCs w:val="22"/>
          <w:lang w:val="es-ES_tradnl"/>
        </w:rPr>
        <w:t>En tal sentido, se puede advertir que</w:t>
      </w:r>
      <w:r w:rsidRPr="00EE55BD">
        <w:rPr>
          <w:rFonts w:ascii="Tahoma" w:eastAsia="MS Mincho" w:hAnsi="Tahoma" w:cs="Tahoma"/>
          <w:sz w:val="22"/>
          <w:szCs w:val="22"/>
          <w:lang w:val="es-ES_tradnl"/>
        </w:rPr>
        <w:t xml:space="preserve"> a la fecha de presentación de propuestas</w:t>
      </w:r>
      <w:r>
        <w:rPr>
          <w:rFonts w:ascii="Tahoma" w:eastAsia="MS Mincho" w:hAnsi="Tahoma" w:cs="Tahoma"/>
          <w:sz w:val="22"/>
          <w:szCs w:val="22"/>
          <w:lang w:val="es-ES_tradnl"/>
        </w:rPr>
        <w:t>,</w:t>
      </w:r>
      <w:r w:rsidRPr="00EE55BD">
        <w:rPr>
          <w:rFonts w:ascii="Tahoma" w:eastAsia="MS Mincho" w:hAnsi="Tahoma" w:cs="Tahoma"/>
          <w:sz w:val="22"/>
          <w:szCs w:val="22"/>
          <w:lang w:val="es-ES_tradnl"/>
        </w:rPr>
        <w:t xml:space="preserve"> las Constancias de Registro Nº 0005-CCCL-04-2008, Nº 0018-CCCL-04-2006 y Nº 0017-CCCL-04-2007, estaban vigentes y</w:t>
      </w:r>
      <w:r>
        <w:rPr>
          <w:rFonts w:ascii="Tahoma" w:eastAsia="MS Mincho" w:hAnsi="Tahoma" w:cs="Tahoma"/>
          <w:sz w:val="22"/>
          <w:szCs w:val="22"/>
          <w:lang w:val="es-ES_tradnl"/>
        </w:rPr>
        <w:t>, considerando que</w:t>
      </w:r>
      <w:r w:rsidRPr="00EE55BD">
        <w:rPr>
          <w:rFonts w:ascii="Tahoma" w:eastAsia="MS Mincho" w:hAnsi="Tahoma" w:cs="Tahoma"/>
          <w:sz w:val="22"/>
          <w:szCs w:val="22"/>
          <w:lang w:val="es-ES_tradnl"/>
        </w:rPr>
        <w:t xml:space="preserve"> la Denunciada no tuvo conocimiento de la anulación de dichas constancias sino de manera posterior a la presentación de su propuesta, </w:t>
      </w:r>
      <w:r>
        <w:rPr>
          <w:rFonts w:ascii="Tahoma" w:eastAsia="MS Mincho" w:hAnsi="Tahoma" w:cs="Tahoma"/>
          <w:sz w:val="22"/>
          <w:szCs w:val="22"/>
          <w:lang w:val="es-ES_tradnl"/>
        </w:rPr>
        <w:t xml:space="preserve">por lo tanto, </w:t>
      </w:r>
      <w:r w:rsidRPr="00EE55BD">
        <w:rPr>
          <w:rFonts w:ascii="Tahoma" w:eastAsia="MS Mincho" w:hAnsi="Tahoma" w:cs="Tahoma"/>
          <w:sz w:val="22"/>
          <w:szCs w:val="22"/>
          <w:lang w:val="es-ES_tradnl"/>
        </w:rPr>
        <w:t xml:space="preserve">resulta válido colegir en este caso concreto, </w:t>
      </w:r>
      <w:r>
        <w:rPr>
          <w:rFonts w:ascii="Tahoma" w:eastAsia="MS Mincho" w:hAnsi="Tahoma" w:cs="Tahoma"/>
          <w:sz w:val="22"/>
          <w:szCs w:val="22"/>
          <w:lang w:val="es-ES_tradnl"/>
        </w:rPr>
        <w:t xml:space="preserve">que </w:t>
      </w:r>
      <w:r w:rsidRPr="00EE55BD">
        <w:rPr>
          <w:rFonts w:ascii="Tahoma" w:eastAsia="MS Mincho" w:hAnsi="Tahoma" w:cs="Tahoma"/>
          <w:sz w:val="22"/>
          <w:szCs w:val="22"/>
          <w:lang w:val="es-ES_tradnl"/>
        </w:rPr>
        <w:t xml:space="preserve">la presentación de </w:t>
      </w:r>
      <w:r>
        <w:rPr>
          <w:rFonts w:ascii="Tahoma" w:eastAsia="MS Mincho" w:hAnsi="Tahoma" w:cs="Tahoma"/>
          <w:sz w:val="22"/>
          <w:szCs w:val="22"/>
          <w:lang w:val="es-ES_tradnl"/>
        </w:rPr>
        <w:t>los documentos cuestionados en el proceso por Competencia Menor Nº 31-2010/OFP/PETROPERU</w:t>
      </w:r>
      <w:r w:rsidRPr="00EE55BD">
        <w:rPr>
          <w:rFonts w:ascii="Tahoma" w:eastAsia="MS Mincho" w:hAnsi="Tahoma" w:cs="Tahoma"/>
          <w:sz w:val="22"/>
          <w:szCs w:val="22"/>
          <w:lang w:val="es-ES_tradnl"/>
        </w:rPr>
        <w:t xml:space="preserve"> </w:t>
      </w:r>
      <w:r>
        <w:rPr>
          <w:rFonts w:ascii="Tahoma" w:eastAsia="MS Mincho" w:hAnsi="Tahoma" w:cs="Tahoma"/>
          <w:sz w:val="22"/>
          <w:szCs w:val="22"/>
          <w:lang w:val="es-ES_tradnl"/>
        </w:rPr>
        <w:t>no eran inexactos, toda vez que su anulación se produjo posteriormente al acto de presentación de propuestas</w:t>
      </w:r>
      <w:r w:rsidRPr="00EE55BD">
        <w:rPr>
          <w:rFonts w:ascii="Tahoma" w:eastAsia="MS Mincho" w:hAnsi="Tahoma" w:cs="Tahoma"/>
          <w:sz w:val="22"/>
          <w:szCs w:val="22"/>
          <w:lang w:val="es-ES_tradnl"/>
        </w:rPr>
        <w:t>.</w:t>
      </w:r>
    </w:p>
    <w:p w:rsidR="00A81882" w:rsidRPr="006574F8" w:rsidRDefault="00A81882" w:rsidP="00A81882">
      <w:pPr>
        <w:jc w:val="both"/>
        <w:rPr>
          <w:rFonts w:ascii="Tahoma" w:hAnsi="Tahoma" w:cs="Tahoma"/>
          <w:sz w:val="22"/>
          <w:szCs w:val="22"/>
        </w:rPr>
      </w:pPr>
    </w:p>
    <w:p w:rsidR="00A81882" w:rsidRPr="006574F8" w:rsidRDefault="00A81882" w:rsidP="00A81882">
      <w:pPr>
        <w:ind w:firstLine="426"/>
        <w:jc w:val="both"/>
        <w:rPr>
          <w:rFonts w:ascii="Tahoma" w:eastAsiaTheme="minorHAnsi" w:hAnsi="Tahoma" w:cs="Tahoma"/>
          <w:color w:val="000000"/>
          <w:sz w:val="22"/>
          <w:szCs w:val="22"/>
        </w:rPr>
      </w:pPr>
      <w:r w:rsidRPr="006574F8">
        <w:rPr>
          <w:rFonts w:ascii="Tahoma" w:hAnsi="Tahoma" w:cs="Tahoma"/>
          <w:sz w:val="22"/>
          <w:szCs w:val="22"/>
        </w:rPr>
        <w:t xml:space="preserve">Por estos fundamentos, </w:t>
      </w:r>
      <w:r w:rsidRPr="006574F8">
        <w:rPr>
          <w:rFonts w:ascii="Tahoma" w:hAnsi="Tahoma" w:cs="Tahoma"/>
          <w:color w:val="000000"/>
          <w:sz w:val="22"/>
          <w:szCs w:val="22"/>
        </w:rPr>
        <w:t>de conformidad con el inf</w:t>
      </w:r>
      <w:r w:rsidRPr="006574F8">
        <w:rPr>
          <w:rFonts w:ascii="Tahoma" w:eastAsia="Calibri" w:hAnsi="Tahoma" w:cs="Tahoma"/>
          <w:color w:val="000000"/>
          <w:sz w:val="22"/>
          <w:szCs w:val="22"/>
        </w:rPr>
        <w:t xml:space="preserve">orme de la Vocal Ponente Dra. Ada Rosa Basulto Liewald y la intervención de los Señores Vocales </w:t>
      </w:r>
      <w:r w:rsidRPr="006574F8">
        <w:rPr>
          <w:rFonts w:ascii="Tahoma" w:eastAsiaTheme="minorHAnsi" w:hAnsi="Tahoma" w:cs="Tahoma"/>
          <w:color w:val="000000"/>
          <w:sz w:val="22"/>
          <w:szCs w:val="22"/>
        </w:rPr>
        <w:t xml:space="preserve">Dr. Carlos Vicente Navas Rondón y </w:t>
      </w:r>
      <w:r w:rsidRPr="006574F8">
        <w:rPr>
          <w:rFonts w:ascii="Tahoma" w:eastAsia="Calibri" w:hAnsi="Tahoma" w:cs="Tahoma"/>
          <w:color w:val="000000"/>
          <w:sz w:val="22"/>
          <w:szCs w:val="22"/>
        </w:rPr>
        <w:t xml:space="preserve">Dra. Janette Elke Ramírez Maynetto; </w:t>
      </w:r>
      <w:r w:rsidRPr="006574F8">
        <w:rPr>
          <w:rFonts w:ascii="Tahoma" w:eastAsiaTheme="minorHAnsi" w:hAnsi="Tahoma" w:cs="Tahoma"/>
          <w:color w:val="000000"/>
          <w:sz w:val="22"/>
          <w:szCs w:val="22"/>
        </w:rPr>
        <w:t xml:space="preserve">atendiendo a la reconformación de la Primera Sala del Tribunal de contrataciones y Adquisiciones del Estado, según lo dispuesto en la Resolución № 103-2011-OSCE/PRE, expedida el 15 de febrero de </w:t>
      </w:r>
      <w:r w:rsidRPr="006574F8">
        <w:rPr>
          <w:rFonts w:ascii="Tahoma" w:eastAsiaTheme="minorHAnsi" w:hAnsi="Tahoma" w:cs="Tahoma"/>
          <w:color w:val="000000"/>
          <w:sz w:val="22"/>
          <w:szCs w:val="22"/>
        </w:rPr>
        <w:lastRenderedPageBreak/>
        <w:t>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A81882" w:rsidRPr="006574F8" w:rsidRDefault="00A81882" w:rsidP="00A81882">
      <w:pPr>
        <w:ind w:firstLine="426"/>
        <w:jc w:val="both"/>
        <w:rPr>
          <w:rFonts w:ascii="Tahoma" w:hAnsi="Tahoma" w:cs="Tahoma"/>
          <w:sz w:val="22"/>
          <w:szCs w:val="22"/>
        </w:rPr>
      </w:pPr>
    </w:p>
    <w:p w:rsidR="00A81882" w:rsidRPr="006574F8" w:rsidRDefault="00A81882" w:rsidP="00A81882">
      <w:pPr>
        <w:ind w:firstLine="567"/>
        <w:jc w:val="both"/>
        <w:rPr>
          <w:rFonts w:ascii="Tahoma" w:hAnsi="Tahoma" w:cs="Tahoma"/>
          <w:b/>
          <w:sz w:val="22"/>
          <w:szCs w:val="22"/>
        </w:rPr>
      </w:pPr>
      <w:r w:rsidRPr="006574F8">
        <w:rPr>
          <w:rFonts w:ascii="Tahoma" w:hAnsi="Tahoma" w:cs="Tahoma"/>
          <w:b/>
          <w:sz w:val="22"/>
          <w:szCs w:val="22"/>
        </w:rPr>
        <w:t xml:space="preserve">LA SALA RESUELVE: </w:t>
      </w:r>
    </w:p>
    <w:p w:rsidR="00A81882" w:rsidRPr="006574F8" w:rsidRDefault="00A81882" w:rsidP="00A81882">
      <w:pPr>
        <w:jc w:val="both"/>
        <w:rPr>
          <w:rFonts w:ascii="Tahoma" w:hAnsi="Tahoma" w:cs="Tahoma"/>
          <w:snapToGrid w:val="0"/>
          <w:sz w:val="22"/>
          <w:szCs w:val="22"/>
        </w:rPr>
      </w:pPr>
    </w:p>
    <w:p w:rsidR="00A81882" w:rsidRPr="00D72553" w:rsidRDefault="00A81882" w:rsidP="00A81882">
      <w:pPr>
        <w:numPr>
          <w:ilvl w:val="0"/>
          <w:numId w:val="5"/>
        </w:numPr>
        <w:ind w:left="567" w:hanging="425"/>
        <w:jc w:val="both"/>
        <w:rPr>
          <w:rFonts w:ascii="Tahoma" w:hAnsi="Tahoma" w:cs="Tahoma"/>
          <w:sz w:val="22"/>
          <w:szCs w:val="22"/>
        </w:rPr>
      </w:pPr>
      <w:r w:rsidRPr="00D72553">
        <w:rPr>
          <w:rFonts w:ascii="Tahoma" w:hAnsi="Tahoma" w:cs="Tahoma"/>
          <w:sz w:val="22"/>
          <w:szCs w:val="22"/>
        </w:rPr>
        <w:t>Declarar no ha lugar el inicio del procedimiento ad</w:t>
      </w:r>
      <w:r>
        <w:rPr>
          <w:rFonts w:ascii="Tahoma" w:hAnsi="Tahoma" w:cs="Tahoma"/>
          <w:sz w:val="22"/>
          <w:szCs w:val="22"/>
        </w:rPr>
        <w:t>ministrativo sancionador</w:t>
      </w:r>
      <w:r w:rsidRPr="00D72553">
        <w:rPr>
          <w:rFonts w:ascii="Tahoma" w:hAnsi="Tahoma" w:cs="Tahoma"/>
          <w:sz w:val="22"/>
          <w:szCs w:val="22"/>
        </w:rPr>
        <w:t xml:space="preserve"> contra </w:t>
      </w:r>
      <w:r w:rsidRPr="00C110FE">
        <w:rPr>
          <w:rFonts w:ascii="Tahoma" w:eastAsia="MS Mincho" w:hAnsi="Tahoma" w:cs="Tahoma"/>
          <w:sz w:val="22"/>
          <w:szCs w:val="22"/>
          <w:lang w:val="es-ES_tradnl"/>
        </w:rPr>
        <w:t xml:space="preserve">la empresa </w:t>
      </w:r>
      <w:r w:rsidRPr="00C110FE">
        <w:rPr>
          <w:rFonts w:ascii="Tahoma" w:hAnsi="Tahoma" w:cs="Tahoma"/>
          <w:sz w:val="22"/>
          <w:szCs w:val="22"/>
        </w:rPr>
        <w:t>TRANSPORTES Y SERVICIOS ISO PETROL EIRL</w:t>
      </w:r>
      <w:r w:rsidRPr="00D72553">
        <w:rPr>
          <w:rFonts w:ascii="Tahoma" w:hAnsi="Tahoma" w:cs="Tahoma"/>
          <w:sz w:val="22"/>
          <w:szCs w:val="22"/>
        </w:rPr>
        <w:t>, debiendo archivarse el presente expediente.</w:t>
      </w:r>
    </w:p>
    <w:p w:rsidR="00A81882" w:rsidRPr="006574F8" w:rsidRDefault="00A81882" w:rsidP="00A81882">
      <w:pPr>
        <w:pStyle w:val="Prrafodelista"/>
        <w:ind w:left="426"/>
        <w:jc w:val="both"/>
        <w:rPr>
          <w:rFonts w:ascii="Tahoma" w:hAnsi="Tahoma" w:cs="Tahoma"/>
          <w:color w:val="000000" w:themeColor="text1"/>
          <w:sz w:val="22"/>
          <w:szCs w:val="22"/>
          <w:lang w:val="es-ES"/>
        </w:rPr>
      </w:pPr>
    </w:p>
    <w:p w:rsidR="00A81882" w:rsidRPr="006574F8" w:rsidRDefault="00A81882" w:rsidP="00A81882">
      <w:pPr>
        <w:pStyle w:val="Textoindependiente21"/>
        <w:ind w:firstLine="567"/>
        <w:rPr>
          <w:rFonts w:cs="Tahoma"/>
          <w:szCs w:val="22"/>
        </w:rPr>
      </w:pPr>
      <w:r w:rsidRPr="006574F8">
        <w:rPr>
          <w:rFonts w:cs="Tahoma"/>
          <w:szCs w:val="22"/>
        </w:rPr>
        <w:t>Regístrese, comuníquese y publíquese.</w:t>
      </w:r>
    </w:p>
    <w:p w:rsidR="00A81882" w:rsidRPr="006574F8" w:rsidRDefault="00A81882" w:rsidP="00A81882">
      <w:pPr>
        <w:jc w:val="center"/>
        <w:rPr>
          <w:rFonts w:ascii="Tahoma" w:hAnsi="Tahoma" w:cs="Tahoma"/>
          <w:b/>
          <w:sz w:val="22"/>
          <w:szCs w:val="22"/>
        </w:rPr>
      </w:pPr>
    </w:p>
    <w:p w:rsidR="00A81882" w:rsidRPr="006574F8" w:rsidRDefault="00A81882" w:rsidP="00A81882">
      <w:pPr>
        <w:jc w:val="center"/>
        <w:rPr>
          <w:rFonts w:ascii="Tahoma" w:hAnsi="Tahoma" w:cs="Tahoma"/>
          <w:b/>
          <w:sz w:val="22"/>
          <w:szCs w:val="22"/>
        </w:rPr>
      </w:pPr>
    </w:p>
    <w:p w:rsidR="00A81882" w:rsidRPr="006574F8" w:rsidRDefault="00A81882" w:rsidP="00A81882">
      <w:pPr>
        <w:jc w:val="center"/>
        <w:rPr>
          <w:rFonts w:ascii="Tahoma" w:hAnsi="Tahoma" w:cs="Tahoma"/>
          <w:b/>
          <w:sz w:val="22"/>
          <w:szCs w:val="22"/>
        </w:rPr>
      </w:pPr>
    </w:p>
    <w:p w:rsidR="00A81882" w:rsidRPr="006574F8" w:rsidRDefault="00A81882" w:rsidP="00A81882">
      <w:pPr>
        <w:jc w:val="center"/>
        <w:rPr>
          <w:rFonts w:ascii="Tahoma" w:hAnsi="Tahoma" w:cs="Tahoma"/>
          <w:b/>
          <w:sz w:val="22"/>
          <w:szCs w:val="22"/>
        </w:rPr>
      </w:pPr>
    </w:p>
    <w:p w:rsidR="00A81882" w:rsidRPr="006574F8" w:rsidRDefault="00A81882" w:rsidP="00A81882">
      <w:pPr>
        <w:jc w:val="center"/>
        <w:rPr>
          <w:rFonts w:ascii="Tahoma" w:hAnsi="Tahoma" w:cs="Tahoma"/>
          <w:b/>
          <w:sz w:val="22"/>
          <w:szCs w:val="22"/>
        </w:rPr>
      </w:pPr>
    </w:p>
    <w:p w:rsidR="00A81882" w:rsidRPr="006574F8" w:rsidRDefault="00A81882" w:rsidP="00A81882">
      <w:pPr>
        <w:jc w:val="center"/>
        <w:rPr>
          <w:rFonts w:ascii="Tahoma" w:hAnsi="Tahoma" w:cs="Tahoma"/>
          <w:b/>
          <w:sz w:val="22"/>
          <w:szCs w:val="22"/>
        </w:rPr>
      </w:pPr>
    </w:p>
    <w:p w:rsidR="00A81882" w:rsidRPr="006574F8" w:rsidRDefault="00A81882" w:rsidP="00A81882">
      <w:pPr>
        <w:jc w:val="center"/>
        <w:rPr>
          <w:rFonts w:ascii="Tahoma" w:hAnsi="Tahoma" w:cs="Tahoma"/>
          <w:b/>
          <w:shadow/>
          <w:sz w:val="22"/>
          <w:szCs w:val="22"/>
          <w:lang w:val="pt-BR"/>
        </w:rPr>
      </w:pPr>
      <w:r w:rsidRPr="006574F8">
        <w:rPr>
          <w:rFonts w:ascii="Tahoma" w:hAnsi="Tahoma" w:cs="Tahoma"/>
          <w:b/>
          <w:shadow/>
          <w:sz w:val="22"/>
          <w:szCs w:val="22"/>
          <w:lang w:val="pt-BR"/>
        </w:rPr>
        <w:t>PRESIDENTE</w:t>
      </w:r>
    </w:p>
    <w:p w:rsidR="00A81882" w:rsidRPr="006574F8" w:rsidRDefault="00A81882" w:rsidP="00A81882">
      <w:pPr>
        <w:ind w:firstLine="708"/>
        <w:rPr>
          <w:rFonts w:ascii="Tahoma" w:hAnsi="Tahoma" w:cs="Tahoma"/>
          <w:b/>
          <w:shadow/>
          <w:sz w:val="22"/>
          <w:szCs w:val="22"/>
          <w:lang w:val="pt-BR"/>
        </w:rPr>
      </w:pPr>
      <w:r w:rsidRPr="006574F8">
        <w:rPr>
          <w:rFonts w:ascii="Tahoma" w:hAnsi="Tahoma" w:cs="Tahoma"/>
          <w:b/>
          <w:shadow/>
          <w:sz w:val="22"/>
          <w:szCs w:val="22"/>
          <w:lang w:val="pt-BR"/>
        </w:rPr>
        <w:t xml:space="preserve">VOCAL           </w:t>
      </w:r>
      <w:r w:rsidRPr="006574F8">
        <w:rPr>
          <w:rFonts w:ascii="Tahoma" w:hAnsi="Tahoma" w:cs="Tahoma"/>
          <w:b/>
          <w:shadow/>
          <w:sz w:val="22"/>
          <w:szCs w:val="22"/>
          <w:lang w:val="pt-BR"/>
        </w:rPr>
        <w:tab/>
      </w:r>
      <w:r w:rsidRPr="006574F8">
        <w:rPr>
          <w:rFonts w:ascii="Tahoma" w:hAnsi="Tahoma" w:cs="Tahoma"/>
          <w:b/>
          <w:shadow/>
          <w:sz w:val="22"/>
          <w:szCs w:val="22"/>
          <w:lang w:val="pt-BR"/>
        </w:rPr>
        <w:tab/>
        <w:t xml:space="preserve">                                                    VOCAL</w:t>
      </w:r>
    </w:p>
    <w:p w:rsidR="00A81882" w:rsidRPr="006574F8" w:rsidRDefault="00A81882" w:rsidP="00A81882">
      <w:pPr>
        <w:jc w:val="both"/>
        <w:rPr>
          <w:rFonts w:ascii="Tahoma" w:hAnsi="Tahoma" w:cs="Tahoma"/>
          <w:sz w:val="22"/>
          <w:szCs w:val="22"/>
          <w:lang w:val="pt-BR"/>
        </w:rPr>
      </w:pPr>
      <w:r w:rsidRPr="006574F8">
        <w:rPr>
          <w:rFonts w:ascii="Tahoma" w:hAnsi="Tahoma" w:cs="Tahoma"/>
          <w:sz w:val="22"/>
          <w:szCs w:val="22"/>
          <w:lang w:val="pt-BR"/>
        </w:rPr>
        <w:t>ss.</w:t>
      </w:r>
    </w:p>
    <w:p w:rsidR="00A81882" w:rsidRPr="006574F8" w:rsidRDefault="00A81882" w:rsidP="00A81882">
      <w:pPr>
        <w:pStyle w:val="Textoindependiente21"/>
        <w:tabs>
          <w:tab w:val="left" w:pos="5250"/>
        </w:tabs>
        <w:rPr>
          <w:rFonts w:cs="Tahoma"/>
          <w:szCs w:val="22"/>
          <w:lang w:val="pt-BR"/>
        </w:rPr>
      </w:pPr>
      <w:r w:rsidRPr="006574F8">
        <w:rPr>
          <w:rFonts w:cs="Tahoma"/>
          <w:szCs w:val="22"/>
          <w:lang w:val="pt-BR"/>
        </w:rPr>
        <w:t>Navas Rondón.</w:t>
      </w:r>
    </w:p>
    <w:p w:rsidR="00A81882" w:rsidRPr="006574F8" w:rsidRDefault="00A81882" w:rsidP="00A81882">
      <w:pPr>
        <w:pStyle w:val="Textoindependiente21"/>
        <w:tabs>
          <w:tab w:val="left" w:pos="5250"/>
        </w:tabs>
        <w:rPr>
          <w:rFonts w:cs="Tahoma"/>
          <w:szCs w:val="22"/>
          <w:lang w:val="pt-BR"/>
        </w:rPr>
      </w:pPr>
      <w:r w:rsidRPr="003D7E25">
        <w:rPr>
          <w:rFonts w:cs="Tahoma"/>
          <w:szCs w:val="22"/>
        </w:rPr>
        <w:t>Ramírez Maynetto.</w:t>
      </w:r>
    </w:p>
    <w:p w:rsidR="00A81882" w:rsidRPr="006574F8" w:rsidRDefault="00A81882" w:rsidP="00A81882">
      <w:pPr>
        <w:pStyle w:val="Textoindependiente21"/>
        <w:rPr>
          <w:rFonts w:cs="Tahoma"/>
          <w:szCs w:val="22"/>
        </w:rPr>
      </w:pPr>
      <w:r w:rsidRPr="006574F8">
        <w:rPr>
          <w:rFonts w:cs="Tahoma"/>
          <w:szCs w:val="22"/>
        </w:rPr>
        <w:t>Basulto Liewald.</w:t>
      </w:r>
    </w:p>
    <w:p w:rsidR="00A81882" w:rsidRDefault="00A81882" w:rsidP="00A81882"/>
    <w:p w:rsidR="008B738B" w:rsidRDefault="00BF4091"/>
    <w:sectPr w:rsidR="008B738B" w:rsidSect="0035353E">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091" w:rsidRDefault="00BF4091" w:rsidP="00A81882">
      <w:r>
        <w:separator/>
      </w:r>
    </w:p>
  </w:endnote>
  <w:endnote w:type="continuationSeparator" w:id="1">
    <w:p w:rsidR="00BF4091" w:rsidRDefault="00BF4091" w:rsidP="00A818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9730CC">
            <w:pPr>
              <w:pStyle w:val="Piedepgina"/>
              <w:jc w:val="center"/>
            </w:pPr>
            <w:r>
              <w:t xml:space="preserve">Página </w:t>
            </w:r>
            <w:r w:rsidR="00F83A34">
              <w:rPr>
                <w:b/>
              </w:rPr>
              <w:fldChar w:fldCharType="begin"/>
            </w:r>
            <w:r>
              <w:rPr>
                <w:b/>
              </w:rPr>
              <w:instrText>PAGE</w:instrText>
            </w:r>
            <w:r w:rsidR="00F83A34">
              <w:rPr>
                <w:b/>
              </w:rPr>
              <w:fldChar w:fldCharType="separate"/>
            </w:r>
            <w:r w:rsidR="00245114">
              <w:rPr>
                <w:b/>
                <w:noProof/>
              </w:rPr>
              <w:t>1</w:t>
            </w:r>
            <w:r w:rsidR="00F83A34">
              <w:rPr>
                <w:b/>
              </w:rPr>
              <w:fldChar w:fldCharType="end"/>
            </w:r>
            <w:r>
              <w:t xml:space="preserve"> de </w:t>
            </w:r>
            <w:r w:rsidR="00F83A34">
              <w:rPr>
                <w:b/>
              </w:rPr>
              <w:fldChar w:fldCharType="begin"/>
            </w:r>
            <w:r>
              <w:rPr>
                <w:b/>
              </w:rPr>
              <w:instrText>NUMPAGES</w:instrText>
            </w:r>
            <w:r w:rsidR="00F83A34">
              <w:rPr>
                <w:b/>
              </w:rPr>
              <w:fldChar w:fldCharType="separate"/>
            </w:r>
            <w:r w:rsidR="00245114">
              <w:rPr>
                <w:b/>
                <w:noProof/>
              </w:rPr>
              <w:t>8</w:t>
            </w:r>
            <w:r w:rsidR="00F83A34">
              <w:rPr>
                <w:b/>
              </w:rPr>
              <w:fldChar w:fldCharType="end"/>
            </w:r>
          </w:p>
        </w:sdtContent>
      </w:sdt>
    </w:sdtContent>
  </w:sdt>
  <w:p w:rsidR="0035353E" w:rsidRDefault="00BF409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091" w:rsidRDefault="00BF4091" w:rsidP="00A81882">
      <w:r>
        <w:separator/>
      </w:r>
    </w:p>
  </w:footnote>
  <w:footnote w:type="continuationSeparator" w:id="1">
    <w:p w:rsidR="00BF4091" w:rsidRDefault="00BF4091" w:rsidP="00A81882">
      <w:r>
        <w:continuationSeparator/>
      </w:r>
    </w:p>
  </w:footnote>
  <w:footnote w:id="2">
    <w:p w:rsidR="00A81882" w:rsidRPr="00285227" w:rsidRDefault="00A81882" w:rsidP="00A81882">
      <w:pPr>
        <w:pStyle w:val="Textonotapie"/>
        <w:rPr>
          <w:rFonts w:ascii="Tahoma" w:hAnsi="Tahoma" w:cs="Tahoma"/>
          <w:i/>
          <w:sz w:val="16"/>
          <w:szCs w:val="16"/>
        </w:rPr>
      </w:pPr>
      <w:r w:rsidRPr="00CA1C02">
        <w:rPr>
          <w:rStyle w:val="Refdenotaalpie"/>
          <w:rFonts w:ascii="Tahoma" w:hAnsi="Tahoma" w:cs="Tahoma"/>
          <w:i/>
        </w:rPr>
        <w:footnoteRef/>
      </w:r>
      <w:r w:rsidRPr="00CA1C02">
        <w:rPr>
          <w:rFonts w:ascii="Tahoma" w:hAnsi="Tahoma" w:cs="Tahoma"/>
          <w:i/>
        </w:rPr>
        <w:t xml:space="preserve"> </w:t>
      </w:r>
      <w:r w:rsidRPr="00285227">
        <w:rPr>
          <w:rFonts w:ascii="Tahoma" w:hAnsi="Tahoma" w:cs="Tahoma"/>
          <w:i/>
          <w:sz w:val="16"/>
          <w:szCs w:val="16"/>
        </w:rPr>
        <w:t>Publicada el 23 de julio de 2006.</w:t>
      </w:r>
    </w:p>
  </w:footnote>
  <w:footnote w:id="3">
    <w:p w:rsidR="00A81882" w:rsidRPr="00285227" w:rsidRDefault="00A81882" w:rsidP="00A81882">
      <w:pPr>
        <w:pStyle w:val="Textonotapie"/>
        <w:rPr>
          <w:rFonts w:ascii="Tahoma" w:hAnsi="Tahoma" w:cs="Tahoma"/>
          <w:i/>
          <w:sz w:val="16"/>
          <w:szCs w:val="16"/>
        </w:rPr>
      </w:pPr>
      <w:r w:rsidRPr="00285227">
        <w:rPr>
          <w:rStyle w:val="Refdenotaalpie"/>
          <w:rFonts w:ascii="Tahoma" w:hAnsi="Tahoma" w:cs="Tahoma"/>
          <w:i/>
          <w:sz w:val="16"/>
          <w:szCs w:val="16"/>
        </w:rPr>
        <w:footnoteRef/>
      </w:r>
      <w:r w:rsidRPr="00285227">
        <w:rPr>
          <w:rFonts w:ascii="Tahoma" w:hAnsi="Tahoma" w:cs="Tahoma"/>
          <w:i/>
          <w:sz w:val="16"/>
          <w:szCs w:val="16"/>
        </w:rPr>
        <w:t xml:space="preserve"> Pu</w:t>
      </w:r>
      <w:r>
        <w:rPr>
          <w:rFonts w:ascii="Tahoma" w:hAnsi="Tahoma" w:cs="Tahoma"/>
          <w:i/>
          <w:sz w:val="16"/>
          <w:szCs w:val="16"/>
        </w:rPr>
        <w:t>blicada el 12 de diciembre del 2009</w:t>
      </w:r>
      <w:r w:rsidRPr="00285227">
        <w:rPr>
          <w:rFonts w:ascii="Tahoma" w:hAnsi="Tahoma" w:cs="Tahoma"/>
          <w:i/>
          <w:sz w:val="16"/>
          <w:szCs w:val="16"/>
        </w:rPr>
        <w:t>.</w:t>
      </w:r>
    </w:p>
  </w:footnote>
  <w:footnote w:id="4">
    <w:p w:rsidR="00A81882" w:rsidRDefault="00A81882" w:rsidP="00A81882">
      <w:pPr>
        <w:pStyle w:val="Textonotapie"/>
        <w:rPr>
          <w:i/>
          <w:sz w:val="18"/>
          <w:szCs w:val="18"/>
        </w:rPr>
      </w:pPr>
      <w:r>
        <w:rPr>
          <w:rStyle w:val="Refdenotaalpie"/>
          <w:b/>
          <w:bCs/>
          <w:i/>
          <w:sz w:val="18"/>
          <w:szCs w:val="18"/>
        </w:rPr>
        <w:footnoteRef/>
      </w:r>
      <w:r>
        <w:rPr>
          <w:i/>
          <w:sz w:val="18"/>
          <w:szCs w:val="18"/>
        </w:rPr>
        <w:t xml:space="preserve"> </w:t>
      </w:r>
      <w:r>
        <w:rPr>
          <w:b/>
          <w:bCs/>
          <w:i/>
          <w:sz w:val="18"/>
          <w:szCs w:val="18"/>
        </w:rPr>
        <w:t>El Principio de Presunción de Veracidad</w:t>
      </w:r>
      <w:r>
        <w:rPr>
          <w:i/>
          <w:sz w:val="18"/>
          <w:szCs w:val="18"/>
        </w:rPr>
        <w:t xml:space="preserve"> consiste en </w:t>
      </w:r>
      <w:r>
        <w:rPr>
          <w:i/>
          <w:iCs/>
          <w:sz w:val="18"/>
          <w:szCs w:val="18"/>
        </w:rPr>
        <w:t xml:space="preserve">“el deber de suponer – por adelantado y con carácter provisorio – que los administrados proceden con verdad en sus actuaciones en el procedimiento que intervengan (rige tanto las relaciones de </w:t>
      </w:r>
      <w:smartTag w:uri="urn:schemas-microsoft-com:office:smarttags" w:element="PersonName">
        <w:smartTagPr>
          <w:attr w:name="ProductID" w:val="la Administraci￳n P￺blica"/>
        </w:smartTagPr>
        <w:r>
          <w:rPr>
            <w:i/>
            <w:iCs/>
            <w:sz w:val="18"/>
            <w:szCs w:val="18"/>
          </w:rPr>
          <w:t>la Administración Pública</w:t>
        </w:r>
      </w:smartTag>
      <w:r>
        <w:rPr>
          <w:i/>
          <w:iCs/>
          <w:sz w:val="18"/>
          <w:szCs w:val="18"/>
        </w:rPr>
        <w:t xml:space="preserve"> con sus agentes como con el público). Sustituye la tradicional duda o escepticismo de la autoridad sobre los administrados”.</w:t>
      </w:r>
      <w:r>
        <w:rPr>
          <w:i/>
          <w:sz w:val="18"/>
          <w:szCs w:val="18"/>
        </w:rPr>
        <w:t xml:space="preserve"> MORÓN URBINA, Juan Carlos. </w:t>
      </w:r>
      <w:r>
        <w:rPr>
          <w:b/>
          <w:bCs/>
          <w:i/>
          <w:sz w:val="18"/>
          <w:szCs w:val="18"/>
        </w:rPr>
        <w:t xml:space="preserve">Comentarios a </w:t>
      </w:r>
      <w:smartTag w:uri="urn:schemas-microsoft-com:office:smarttags" w:element="PersonName">
        <w:smartTagPr>
          <w:attr w:name="ProductID" w:val="la Ley"/>
        </w:smartTagPr>
        <w:r>
          <w:rPr>
            <w:b/>
            <w:bCs/>
            <w:i/>
            <w:sz w:val="18"/>
            <w:szCs w:val="18"/>
          </w:rPr>
          <w:t>la Ley</w:t>
        </w:r>
      </w:smartTag>
      <w:r>
        <w:rPr>
          <w:b/>
          <w:bCs/>
          <w:i/>
          <w:sz w:val="18"/>
          <w:szCs w:val="18"/>
        </w:rPr>
        <w:t xml:space="preserve"> del Procedimiento Administrativo General</w:t>
      </w:r>
      <w:r>
        <w:rPr>
          <w:i/>
          <w:sz w:val="18"/>
          <w:szCs w:val="18"/>
        </w:rPr>
        <w:t>. Cuarta Edición. Lima: Gaceta Jurídica, 2005; pp. 74 -75.</w:t>
      </w:r>
    </w:p>
    <w:p w:rsidR="00A81882" w:rsidRDefault="00A81882" w:rsidP="00A81882">
      <w:pPr>
        <w:pStyle w:val="Textonotapie"/>
        <w:rPr>
          <w:i/>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114" w:rsidRDefault="00245114" w:rsidP="00245114">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245114" w:rsidRDefault="00245114" w:rsidP="00245114">
    <w:pPr>
      <w:pStyle w:val="Encabezado"/>
      <w:rPr>
        <w:noProof/>
      </w:rPr>
    </w:pPr>
  </w:p>
  <w:p w:rsidR="00245114" w:rsidRDefault="00245114" w:rsidP="00245114">
    <w:pPr>
      <w:pStyle w:val="Encabezado"/>
      <w:rPr>
        <w:noProof/>
      </w:rPr>
    </w:pPr>
  </w:p>
  <w:p w:rsidR="00245114" w:rsidRDefault="00245114" w:rsidP="00245114">
    <w:pPr>
      <w:pStyle w:val="Encabezado"/>
      <w:rPr>
        <w:noProof/>
      </w:rPr>
    </w:pPr>
  </w:p>
  <w:p w:rsidR="00245114" w:rsidRDefault="00245114" w:rsidP="00245114">
    <w:pPr>
      <w:pStyle w:val="Encabezado"/>
      <w:jc w:val="center"/>
    </w:pPr>
    <w:r>
      <w:rPr>
        <w:rFonts w:ascii="Monotype Corsiva" w:hAnsi="Monotype Corsiva"/>
        <w:b/>
        <w:sz w:val="44"/>
        <w:szCs w:val="44"/>
      </w:rPr>
      <w:t xml:space="preserve">Resolución Nº   </w:t>
    </w:r>
    <w:r>
      <w:rPr>
        <w:rFonts w:ascii="Tahoma" w:hAnsi="Tahoma" w:cs="Tahoma"/>
        <w:b/>
        <w:sz w:val="44"/>
        <w:szCs w:val="44"/>
      </w:rPr>
      <w:t>529-2011-TC-S1</w:t>
    </w:r>
  </w:p>
  <w:p w:rsidR="00245114" w:rsidRDefault="0024511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BF2EF9B2"/>
    <w:lvl w:ilvl="0" w:tplc="C3401FD4">
      <w:start w:val="1"/>
      <w:numFmt w:val="decimal"/>
      <w:lvlText w:val="%1."/>
      <w:lvlJc w:val="left"/>
      <w:pPr>
        <w:tabs>
          <w:tab w:val="num" w:pos="1068"/>
        </w:tabs>
        <w:ind w:left="1068" w:hanging="360"/>
      </w:pPr>
      <w:rPr>
        <w:b/>
        <w:i w:val="0"/>
      </w:rPr>
    </w:lvl>
    <w:lvl w:ilvl="1" w:tplc="33EE8310">
      <w:start w:val="3"/>
      <w:numFmt w:val="bullet"/>
      <w:lvlText w:val=""/>
      <w:lvlJc w:val="left"/>
      <w:pPr>
        <w:tabs>
          <w:tab w:val="num" w:pos="1788"/>
        </w:tabs>
        <w:ind w:left="1788" w:hanging="360"/>
      </w:pPr>
      <w:rPr>
        <w:rFonts w:ascii="Symbol" w:eastAsia="Times New Roman" w:hAnsi="Symbol" w:cs="Tahoma"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26722C80"/>
    <w:multiLevelType w:val="hybridMultilevel"/>
    <w:tmpl w:val="1A908258"/>
    <w:lvl w:ilvl="0" w:tplc="61B26CA4">
      <w:start w:val="1"/>
      <w:numFmt w:val="upperLetter"/>
      <w:lvlText w:val="%1."/>
      <w:lvlJc w:val="left"/>
      <w:pPr>
        <w:ind w:left="540" w:hanging="540"/>
      </w:pPr>
      <w:rPr>
        <w:rFonts w:cs="Times New Roman"/>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53C04E24">
      <w:start w:val="1"/>
      <w:numFmt w:val="decimal"/>
      <w:lvlText w:val="%4."/>
      <w:lvlJc w:val="left"/>
      <w:pPr>
        <w:ind w:left="2880" w:hanging="360"/>
      </w:pPr>
      <w:rPr>
        <w:rFonts w:cs="Times New Roman"/>
        <w:b/>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2">
    <w:nsid w:val="2A8316B6"/>
    <w:multiLevelType w:val="hybridMultilevel"/>
    <w:tmpl w:val="E3A83F0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B821C59"/>
    <w:multiLevelType w:val="hybridMultilevel"/>
    <w:tmpl w:val="7B6AFBC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E1931F5"/>
    <w:multiLevelType w:val="hybridMultilevel"/>
    <w:tmpl w:val="6B52A2B0"/>
    <w:lvl w:ilvl="0" w:tplc="EAB4C47A">
      <w:start w:val="1"/>
      <w:numFmt w:val="decimal"/>
      <w:lvlText w:val="%1."/>
      <w:lvlJc w:val="left"/>
      <w:pPr>
        <w:tabs>
          <w:tab w:val="num" w:pos="360"/>
        </w:tabs>
        <w:ind w:left="360" w:hanging="360"/>
      </w:pPr>
      <w:rPr>
        <w:rFonts w:ascii="Tahoma" w:hAnsi="Tahoma" w:cs="Tahoma" w:hint="default"/>
        <w:b/>
        <w:sz w:val="24"/>
        <w:szCs w:val="24"/>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7F86388"/>
    <w:multiLevelType w:val="hybridMultilevel"/>
    <w:tmpl w:val="25FEEF0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7">
    <w:nsid w:val="776C2DBD"/>
    <w:multiLevelType w:val="hybridMultilevel"/>
    <w:tmpl w:val="BD3C2554"/>
    <w:lvl w:ilvl="0" w:tplc="67A6AEA4">
      <w:start w:val="1"/>
      <w:numFmt w:val="decimal"/>
      <w:lvlText w:val="%1."/>
      <w:lvlJc w:val="left"/>
      <w:pPr>
        <w:ind w:left="720" w:hanging="360"/>
      </w:pPr>
      <w:rPr>
        <w:rFonts w:hint="default"/>
        <w:b/>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7EC759A6"/>
    <w:multiLevelType w:val="hybridMultilevel"/>
    <w:tmpl w:val="56B019D4"/>
    <w:lvl w:ilvl="0" w:tplc="5928D88A">
      <w:start w:val="1"/>
      <w:numFmt w:val="decimal"/>
      <w:lvlText w:val="%1."/>
      <w:lvlJc w:val="left"/>
      <w:pPr>
        <w:tabs>
          <w:tab w:val="num" w:pos="360"/>
        </w:tabs>
        <w:ind w:left="360" w:hanging="360"/>
      </w:pPr>
      <w:rPr>
        <w:rFonts w:ascii="Tahoma" w:hAnsi="Tahoma" w:cs="Tahoma" w:hint="default"/>
        <w:b/>
        <w:color w:val="auto"/>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4"/>
  </w:num>
  <w:num w:numId="2">
    <w:abstractNumId w:val="8"/>
  </w:num>
  <w:num w:numId="3">
    <w:abstractNumId w:val="6"/>
  </w:num>
  <w:num w:numId="4">
    <w:abstractNumId w:val="0"/>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A81882"/>
    <w:rsid w:val="00245114"/>
    <w:rsid w:val="0047217E"/>
    <w:rsid w:val="00574D0B"/>
    <w:rsid w:val="005F0E2E"/>
    <w:rsid w:val="00783E11"/>
    <w:rsid w:val="009042C5"/>
    <w:rsid w:val="009730CC"/>
    <w:rsid w:val="00A81882"/>
    <w:rsid w:val="00BF4091"/>
    <w:rsid w:val="00F83A3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882"/>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A81882"/>
    <w:pPr>
      <w:spacing w:after="120"/>
    </w:pPr>
    <w:rPr>
      <w:sz w:val="16"/>
      <w:szCs w:val="16"/>
      <w:lang w:val="es-PE"/>
    </w:rPr>
  </w:style>
  <w:style w:type="character" w:customStyle="1" w:styleId="Textoindependiente3Car">
    <w:name w:val="Texto independiente 3 Car"/>
    <w:basedOn w:val="Fuentedeprrafopredeter"/>
    <w:link w:val="Textoindependiente3"/>
    <w:rsid w:val="00A81882"/>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A81882"/>
    <w:pPr>
      <w:jc w:val="both"/>
    </w:pPr>
    <w:rPr>
      <w:rFonts w:ascii="Tahoma" w:hAnsi="Tahoma"/>
      <w:sz w:val="22"/>
      <w:szCs w:val="20"/>
    </w:rPr>
  </w:style>
  <w:style w:type="paragraph" w:styleId="Prrafodelista">
    <w:name w:val="List Paragraph"/>
    <w:basedOn w:val="Normal"/>
    <w:uiPriority w:val="34"/>
    <w:qFormat/>
    <w:rsid w:val="00A81882"/>
    <w:pPr>
      <w:widowControl w:val="0"/>
      <w:suppressAutoHyphens/>
      <w:ind w:left="708"/>
    </w:pPr>
    <w:rPr>
      <w:szCs w:val="20"/>
      <w:lang w:val="es-ES_tradnl"/>
    </w:rPr>
  </w:style>
  <w:style w:type="paragraph" w:styleId="Piedepgina">
    <w:name w:val="footer"/>
    <w:basedOn w:val="Normal"/>
    <w:link w:val="PiedepginaCar"/>
    <w:uiPriority w:val="99"/>
    <w:unhideWhenUsed/>
    <w:rsid w:val="00A81882"/>
    <w:pPr>
      <w:tabs>
        <w:tab w:val="center" w:pos="4252"/>
        <w:tab w:val="right" w:pos="8504"/>
      </w:tabs>
    </w:pPr>
  </w:style>
  <w:style w:type="character" w:customStyle="1" w:styleId="PiedepginaCar">
    <w:name w:val="Pie de página Car"/>
    <w:basedOn w:val="Fuentedeprrafopredeter"/>
    <w:link w:val="Piedepgina"/>
    <w:uiPriority w:val="99"/>
    <w:rsid w:val="00A81882"/>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1 Car, Car2 Car Car Car Car Car, Car2 Car Car, Car2 Car Car Car Car Car Car, Car2 Car1 Car, Car Car Car, Car2 Car, Car2"/>
    <w:basedOn w:val="Normal"/>
    <w:link w:val="TextonotapieCar"/>
    <w:rsid w:val="00A81882"/>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 Car2 Car Car Car Car Car Car1, Car2 Car Car Car, Car2 Car1 Car Car"/>
    <w:basedOn w:val="Fuentedeprrafopredeter"/>
    <w:link w:val="Textonotapie"/>
    <w:rsid w:val="00A81882"/>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A81882"/>
    <w:rPr>
      <w:rFonts w:cs="Times New Roman"/>
      <w:vertAlign w:val="superscript"/>
    </w:rPr>
  </w:style>
  <w:style w:type="paragraph" w:styleId="Encabezado">
    <w:name w:val="header"/>
    <w:aliases w:val="maria,h"/>
    <w:basedOn w:val="Normal"/>
    <w:link w:val="EncabezadoCar"/>
    <w:uiPriority w:val="99"/>
    <w:semiHidden/>
    <w:unhideWhenUsed/>
    <w:rsid w:val="00245114"/>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245114"/>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5211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2906</Words>
  <Characters>15986</Characters>
  <Application>Microsoft Office Word</Application>
  <DocSecurity>0</DocSecurity>
  <Lines>133</Lines>
  <Paragraphs>37</Paragraphs>
  <ScaleCrop>false</ScaleCrop>
  <Company/>
  <LinksUpToDate>false</LinksUpToDate>
  <CharactersWithSpaces>18855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5</cp:revision>
  <cp:lastPrinted>2011-03-25T20:04:00Z</cp:lastPrinted>
  <dcterms:created xsi:type="dcterms:W3CDTF">2011-03-25T19:56:00Z</dcterms:created>
  <dcterms:modified xsi:type="dcterms:W3CDTF">2011-04-06T16:56:00Z</dcterms:modified>
</cp:coreProperties>
</file>